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412" w:lineRule="auto" w:before="231"/>
        <w:ind w:left="3932" w:right="2272" w:hanging="1980"/>
      </w:pPr>
      <w:bookmarkStart w:name="2023年成都市温江区万春学校部门预算" w:id="1"/>
      <w:bookmarkEnd w:id="1"/>
      <w:r>
        <w:rPr/>
      </w:r>
      <w:r>
        <w:rPr>
          <w:rFonts w:ascii="Times New Roman" w:eastAsia="Times New Roman"/>
          <w:spacing w:val="-1"/>
        </w:rPr>
        <w:t>2023</w:t>
      </w:r>
      <w:r>
        <w:rPr/>
        <w:t>年成都市温江区万春学校部门预算</w:t>
      </w:r>
    </w:p>
    <w:p>
      <w:pPr>
        <w:spacing w:after="0" w:line="412" w:lineRule="auto"/>
        <w:sectPr>
          <w:footerReference w:type="default" r:id="rId5"/>
          <w:type w:val="continuous"/>
          <w:pgSz w:w="11910" w:h="16840"/>
          <w:pgMar w:footer="1549" w:top="1580" w:bottom="1740" w:left="1300" w:right="660"/>
          <w:pgNumType w:start="1"/>
        </w:sectPr>
      </w:pPr>
    </w:p>
    <w:p>
      <w:pPr>
        <w:spacing w:line="777" w:lineRule="exact" w:before="0"/>
        <w:ind w:left="1281" w:right="1476" w:firstLine="0"/>
        <w:jc w:val="center"/>
        <w:rPr>
          <w:b/>
          <w:sz w:val="44"/>
        </w:rPr>
      </w:pPr>
      <w:r>
        <w:rPr>
          <w:b/>
          <w:sz w:val="44"/>
        </w:rPr>
        <w:t>目录</w:t>
      </w:r>
    </w:p>
    <w:p>
      <w:pPr>
        <w:pStyle w:val="Heading1"/>
        <w:spacing w:before="486"/>
        <w:ind w:left="226"/>
      </w:pPr>
      <w:r>
        <w:rPr>
          <w:spacing w:val="-5"/>
        </w:rPr>
        <w:t>第一部分 成都市温江区万春学校概况</w:t>
      </w:r>
    </w:p>
    <w:p>
      <w:pPr>
        <w:pStyle w:val="BodyText"/>
        <w:spacing w:line="235" w:lineRule="auto" w:before="43"/>
        <w:ind w:left="228" w:right="6316"/>
      </w:pPr>
      <w:r>
        <w:rPr>
          <w:spacing w:val="-13"/>
        </w:rPr>
        <w:t>一、基本职能及主要工作</w:t>
      </w:r>
      <w:r>
        <w:rPr/>
        <w:t>二、部门预算单位构成</w:t>
      </w:r>
    </w:p>
    <w:p>
      <w:pPr>
        <w:pStyle w:val="Heading1"/>
        <w:spacing w:line="543" w:lineRule="exact"/>
        <w:ind w:left="226"/>
      </w:pPr>
      <w:r>
        <w:rPr>
          <w:spacing w:val="-5"/>
        </w:rPr>
        <w:t>第二部分 成都市温江区万春学校</w:t>
      </w:r>
      <w:r>
        <w:rPr>
          <w:rFonts w:ascii="Times New Roman" w:eastAsia="Times New Roman"/>
        </w:rPr>
        <w:t>2023</w:t>
      </w:r>
      <w:r>
        <w:rPr/>
        <w:t>年部门</w:t>
      </w:r>
    </w:p>
    <w:p>
      <w:pPr>
        <w:spacing w:line="247" w:lineRule="auto" w:before="15"/>
        <w:ind w:left="228" w:right="5162" w:firstLine="1951"/>
        <w:jc w:val="left"/>
        <w:rPr>
          <w:rFonts w:ascii="SimSun" w:eastAsia="SimSun" w:hint="eastAsia"/>
          <w:sz w:val="44"/>
        </w:rPr>
      </w:pPr>
      <w:r>
        <w:rPr>
          <w:rFonts w:ascii="SimSun" w:eastAsia="SimSun" w:hint="eastAsia"/>
          <w:spacing w:val="-7"/>
          <w:sz w:val="44"/>
        </w:rPr>
        <w:t>预算情况说明</w:t>
      </w:r>
      <w:r>
        <w:rPr>
          <w:rFonts w:ascii="SimSun" w:eastAsia="SimSun" w:hint="eastAsia"/>
          <w:spacing w:val="-2"/>
          <w:sz w:val="44"/>
        </w:rPr>
        <w:t>第三部分 名词解释</w:t>
      </w:r>
    </w:p>
    <w:p>
      <w:pPr>
        <w:pStyle w:val="Heading1"/>
        <w:ind w:left="228"/>
      </w:pPr>
      <w:r>
        <w:rPr>
          <w:spacing w:val="-7"/>
        </w:rPr>
        <w:t>第四部分 </w:t>
      </w:r>
      <w:r>
        <w:rPr>
          <w:rFonts w:ascii="Times New Roman" w:eastAsia="Times New Roman"/>
        </w:rPr>
        <w:t>2023</w:t>
      </w:r>
      <w:r>
        <w:rPr/>
        <w:t>年部门预算表</w:t>
      </w:r>
    </w:p>
    <w:p>
      <w:pPr>
        <w:pStyle w:val="BodyText"/>
        <w:spacing w:line="235" w:lineRule="auto" w:before="41"/>
        <w:ind w:left="228" w:right="7240"/>
        <w:jc w:val="both"/>
      </w:pPr>
      <w:r>
        <w:rPr>
          <w:spacing w:val="-11"/>
        </w:rPr>
        <w:t>一、部门收支总表二、部门收入总表三、部门支出总表</w:t>
      </w:r>
    </w:p>
    <w:p>
      <w:pPr>
        <w:pStyle w:val="BodyText"/>
        <w:spacing w:line="583" w:lineRule="exact"/>
        <w:ind w:left="228"/>
      </w:pPr>
      <w:r>
        <w:rPr>
          <w:spacing w:val="-6"/>
        </w:rPr>
        <w:t>四、财政拨款收支预算总表</w:t>
      </w:r>
    </w:p>
    <w:p>
      <w:pPr>
        <w:pStyle w:val="BodyText"/>
        <w:spacing w:line="235" w:lineRule="auto" w:before="4"/>
        <w:ind w:left="228" w:right="3236"/>
      </w:pPr>
      <w:r>
        <w:rPr>
          <w:w w:val="95"/>
        </w:rPr>
        <w:t>五、财政拨款支出预算表（部门经济分类科目）</w:t>
      </w:r>
      <w:r>
        <w:rPr>
          <w:spacing w:val="1"/>
          <w:w w:val="95"/>
        </w:rPr>
        <w:t> </w:t>
      </w:r>
      <w:r>
        <w:rPr/>
        <w:t>六、一般公共预算支出预算表</w:t>
      </w:r>
    </w:p>
    <w:p>
      <w:pPr>
        <w:pStyle w:val="BodyText"/>
        <w:spacing w:line="235" w:lineRule="auto" w:before="3"/>
        <w:ind w:left="228" w:right="5083"/>
      </w:pPr>
      <w:r>
        <w:rPr>
          <w:spacing w:val="-13"/>
        </w:rPr>
        <w:t>七、一般公共预算基本支出预算表八、一般公共预算项目支出预算表</w:t>
      </w:r>
    </w:p>
    <w:p>
      <w:pPr>
        <w:pStyle w:val="BodyText"/>
        <w:spacing w:line="235" w:lineRule="auto" w:before="6"/>
        <w:ind w:left="228" w:right="4194"/>
      </w:pPr>
      <w:r>
        <w:rPr>
          <w:w w:val="95"/>
        </w:rPr>
        <w:t>九、一般公共预算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三公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经费支出预算表</w:t>
      </w:r>
      <w:r>
        <w:rPr/>
        <w:t>十、政府性基金支出预算表</w:t>
      </w:r>
    </w:p>
    <w:p>
      <w:pPr>
        <w:pStyle w:val="BodyText"/>
        <w:spacing w:line="235" w:lineRule="auto" w:before="3"/>
        <w:ind w:left="228" w:right="3578"/>
      </w:pPr>
      <w:r>
        <w:rPr>
          <w:w w:val="95"/>
        </w:rPr>
        <w:t>十一、政府性基金预算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三公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经费支出预算表</w:t>
      </w:r>
      <w:r>
        <w:rPr/>
        <w:t>十二、国有资本经营预算支出预算表</w:t>
      </w:r>
    </w:p>
    <w:p>
      <w:pPr>
        <w:pStyle w:val="BodyText"/>
        <w:spacing w:line="235" w:lineRule="auto" w:before="3"/>
        <w:ind w:left="228" w:right="4775"/>
      </w:pPr>
      <w:r>
        <w:rPr>
          <w:spacing w:val="-12"/>
        </w:rPr>
        <w:t>十三、部门预算项目支出绩效目标表</w:t>
      </w:r>
      <w:r>
        <w:rPr/>
        <w:t>十四、部门整体支出绩效目标表</w:t>
      </w:r>
    </w:p>
    <w:p>
      <w:pPr>
        <w:spacing w:after="0" w:line="235" w:lineRule="auto"/>
        <w:sectPr>
          <w:pgSz w:w="11910" w:h="16840"/>
          <w:pgMar w:header="0" w:footer="1549" w:top="1480" w:bottom="182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2"/>
        </w:rPr>
      </w:pPr>
    </w:p>
    <w:p>
      <w:pPr>
        <w:pStyle w:val="Heading1"/>
        <w:spacing w:before="57"/>
        <w:ind w:right="2324"/>
        <w:jc w:val="center"/>
      </w:pPr>
      <w:r>
        <w:rPr>
          <w:spacing w:val="-5"/>
        </w:rPr>
        <w:t>第一部分 成都市温江区万春学校</w:t>
      </w:r>
    </w:p>
    <w:p>
      <w:pPr>
        <w:spacing w:before="192"/>
        <w:ind w:left="2780" w:right="3424" w:firstLine="0"/>
        <w:jc w:val="center"/>
        <w:rPr>
          <w:rFonts w:ascii="SimSun" w:eastAsia="SimSun" w:hint="eastAsia"/>
          <w:sz w:val="44"/>
        </w:rPr>
      </w:pPr>
      <w:r>
        <w:rPr>
          <w:rFonts w:ascii="SimSun" w:eastAsia="SimSun" w:hint="eastAsia"/>
          <w:sz w:val="44"/>
        </w:rPr>
        <w:t>概况</w:t>
      </w:r>
    </w:p>
    <w:p>
      <w:pPr>
        <w:spacing w:after="0"/>
        <w:jc w:val="center"/>
        <w:rPr>
          <w:rFonts w:ascii="SimSun" w:eastAsia="SimSun" w:hint="eastAsia"/>
          <w:sz w:val="44"/>
        </w:rPr>
        <w:sectPr>
          <w:pgSz w:w="11910" w:h="16840"/>
          <w:pgMar w:header="0" w:footer="1549" w:top="1580" w:bottom="1740" w:left="1300" w:right="660"/>
        </w:sectPr>
      </w:pPr>
    </w:p>
    <w:p>
      <w:pPr>
        <w:pStyle w:val="Heading1"/>
        <w:spacing w:line="553" w:lineRule="exact" w:before="31"/>
        <w:ind w:right="1601"/>
        <w:jc w:val="center"/>
      </w:pPr>
      <w:bookmarkStart w:name="成都市温江区万春学校 " w:id="2"/>
      <w:bookmarkEnd w:id="2"/>
      <w:r>
        <w:rPr/>
      </w:r>
      <w:bookmarkStart w:name="2023年部门预算说明 " w:id="3"/>
      <w:bookmarkEnd w:id="3"/>
      <w:r>
        <w:rPr/>
      </w:r>
      <w:r>
        <w:rPr>
          <w:w w:val="95"/>
        </w:rPr>
        <w:t>成都市温江区万春学校</w:t>
      </w:r>
    </w:p>
    <w:p>
      <w:pPr>
        <w:spacing w:line="553" w:lineRule="exact" w:before="0"/>
        <w:ind w:left="1281" w:right="1601" w:firstLine="0"/>
        <w:jc w:val="center"/>
        <w:rPr>
          <w:rFonts w:ascii="SimSun" w:eastAsia="SimSun" w:hint="eastAsia"/>
          <w:sz w:val="44"/>
        </w:rPr>
      </w:pPr>
      <w:r>
        <w:rPr>
          <w:rFonts w:ascii="Times New Roman" w:eastAsia="Times New Roman"/>
          <w:sz w:val="44"/>
        </w:rPr>
        <w:t>2023</w:t>
      </w:r>
      <w:r>
        <w:rPr>
          <w:rFonts w:ascii="Times New Roman" w:eastAsia="Times New Roman"/>
          <w:spacing w:val="-3"/>
          <w:sz w:val="44"/>
        </w:rPr>
        <w:t> </w:t>
      </w:r>
      <w:r>
        <w:rPr>
          <w:rFonts w:ascii="SimSun" w:eastAsia="SimSun" w:hint="eastAsia"/>
          <w:sz w:val="44"/>
        </w:rPr>
        <w:t>年部门预算说明</w:t>
      </w:r>
    </w:p>
    <w:p>
      <w:pPr>
        <w:pStyle w:val="BodyText"/>
        <w:spacing w:before="8"/>
        <w:rPr>
          <w:rFonts w:ascii="SimSun"/>
          <w:sz w:val="49"/>
        </w:rPr>
      </w:pPr>
    </w:p>
    <w:p>
      <w:pPr>
        <w:pStyle w:val="BodyText"/>
        <w:ind w:left="756"/>
        <w:rPr>
          <w:rFonts w:ascii="SimSun" w:eastAsia="SimSun" w:hint="eastAsia"/>
        </w:rPr>
      </w:pPr>
      <w:bookmarkStart w:name="一、基本职能及主要工作 " w:id="4"/>
      <w:bookmarkEnd w:id="4"/>
      <w:r>
        <w:rPr/>
      </w:r>
      <w:r>
        <w:rPr>
          <w:rFonts w:ascii="SimSun" w:eastAsia="SimSun" w:hint="eastAsia"/>
          <w:w w:val="95"/>
        </w:rPr>
        <w:t>一、基本职能及主要工作</w:t>
      </w:r>
    </w:p>
    <w:p>
      <w:pPr>
        <w:pStyle w:val="BodyText"/>
        <w:spacing w:line="565" w:lineRule="exact" w:before="28"/>
        <w:ind w:left="756"/>
      </w:pPr>
      <w:bookmarkStart w:name="（一）基本职能 " w:id="5"/>
      <w:bookmarkEnd w:id="5"/>
      <w:r>
        <w:rPr/>
      </w:r>
      <w:r>
        <w:rPr>
          <w:w w:val="95"/>
        </w:rPr>
        <w:t>（一）基本职能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9" w:after="0"/>
        <w:ind w:left="116" w:right="438" w:firstLine="640"/>
        <w:jc w:val="left"/>
        <w:rPr>
          <w:sz w:val="32"/>
        </w:rPr>
      </w:pPr>
      <w:r>
        <w:rPr>
          <w:w w:val="95"/>
          <w:sz w:val="32"/>
        </w:rPr>
        <w:t>贯彻执行国家教育方针、教学标准，全面实施素质教育，以优</w:t>
      </w:r>
      <w:r>
        <w:rPr>
          <w:sz w:val="32"/>
        </w:rPr>
        <w:t>良的教育教学服务社会；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438" w:firstLine="640"/>
        <w:jc w:val="left"/>
        <w:rPr>
          <w:sz w:val="32"/>
        </w:rPr>
      </w:pPr>
      <w:r>
        <w:rPr>
          <w:w w:val="95"/>
          <w:sz w:val="32"/>
        </w:rPr>
        <w:t>宣传贯彻执行党和国家的教育方针、政策、法律法规等，坚持</w:t>
      </w:r>
      <w:r>
        <w:rPr>
          <w:sz w:val="32"/>
        </w:rPr>
        <w:t>依法治教、依法治学；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549" w:firstLine="640"/>
        <w:jc w:val="both"/>
        <w:rPr>
          <w:sz w:val="32"/>
        </w:rPr>
      </w:pPr>
      <w:r>
        <w:rPr>
          <w:sz w:val="32"/>
        </w:rPr>
        <w:t>配合区教育局制定符合党的教育方针和国家教育法律法规以</w:t>
      </w:r>
      <w:r>
        <w:rPr>
          <w:w w:val="95"/>
          <w:sz w:val="32"/>
        </w:rPr>
        <w:t>及本校实际的教育发展规划和学校布局调整规划，并抓好组织实施</w:t>
      </w:r>
      <w:r>
        <w:rPr>
          <w:spacing w:val="60"/>
          <w:w w:val="95"/>
          <w:sz w:val="32"/>
        </w:rPr>
        <w:t> </w:t>
      </w:r>
      <w:r>
        <w:rPr>
          <w:sz w:val="32"/>
        </w:rPr>
        <w:t>和落实工作；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306" w:firstLine="640"/>
        <w:jc w:val="left"/>
        <w:rPr>
          <w:sz w:val="32"/>
        </w:rPr>
      </w:pPr>
      <w:r>
        <w:rPr>
          <w:w w:val="95"/>
          <w:sz w:val="32"/>
        </w:rPr>
        <w:t>配合各级人民政府依法动员、组织学生入学，严格控制辍学，</w:t>
      </w:r>
      <w:r>
        <w:rPr>
          <w:spacing w:val="29"/>
          <w:w w:val="95"/>
          <w:sz w:val="32"/>
        </w:rPr>
        <w:t> </w:t>
      </w:r>
      <w:r>
        <w:rPr>
          <w:sz w:val="32"/>
        </w:rPr>
        <w:t>推进普及义务教育；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436" w:firstLine="640"/>
        <w:jc w:val="left"/>
        <w:rPr>
          <w:sz w:val="32"/>
        </w:rPr>
      </w:pPr>
      <w:r>
        <w:rPr>
          <w:spacing w:val="-7"/>
          <w:w w:val="95"/>
          <w:sz w:val="32"/>
        </w:rPr>
        <w:t>组织开展本校的教育教学科研和教育教学改革，科研兴教，科</w:t>
      </w:r>
      <w:r>
        <w:rPr>
          <w:spacing w:val="27"/>
          <w:w w:val="95"/>
          <w:sz w:val="32"/>
        </w:rPr>
        <w:t> </w:t>
      </w:r>
      <w:r>
        <w:rPr>
          <w:sz w:val="32"/>
        </w:rPr>
        <w:t>研兴校；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436" w:firstLine="640"/>
        <w:jc w:val="left"/>
        <w:rPr>
          <w:sz w:val="32"/>
        </w:rPr>
      </w:pPr>
      <w:r>
        <w:rPr>
          <w:spacing w:val="-8"/>
          <w:w w:val="95"/>
          <w:sz w:val="32"/>
        </w:rPr>
        <w:t>负责对本校教育教学业务的具体管理，负责教育教学管理及教</w:t>
      </w:r>
      <w:r>
        <w:rPr>
          <w:spacing w:val="26"/>
          <w:w w:val="95"/>
          <w:sz w:val="32"/>
        </w:rPr>
        <w:t> </w:t>
      </w:r>
      <w:r>
        <w:rPr>
          <w:sz w:val="32"/>
        </w:rPr>
        <w:t>研教改工作，全力推进素质教育实施；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439" w:firstLine="640"/>
        <w:jc w:val="left"/>
        <w:rPr>
          <w:sz w:val="32"/>
        </w:rPr>
      </w:pPr>
      <w:r>
        <w:rPr>
          <w:spacing w:val="-10"/>
          <w:w w:val="95"/>
          <w:sz w:val="32"/>
        </w:rPr>
        <w:t>按照干部和教师的职数、编制和管理权限，负责本校教师人事</w:t>
      </w:r>
      <w:r>
        <w:rPr>
          <w:spacing w:val="24"/>
          <w:w w:val="95"/>
          <w:sz w:val="32"/>
        </w:rPr>
        <w:t> </w:t>
      </w:r>
      <w:r>
        <w:rPr>
          <w:sz w:val="32"/>
        </w:rPr>
        <w:t>管理、继续教育、考核考评等工作；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306" w:firstLine="640"/>
        <w:jc w:val="left"/>
        <w:rPr>
          <w:sz w:val="32"/>
        </w:rPr>
      </w:pPr>
      <w:r>
        <w:rPr>
          <w:w w:val="95"/>
          <w:sz w:val="32"/>
        </w:rPr>
        <w:t>负责本校财务管理，筹措资金，改善办学条件；指导、管理、</w:t>
      </w:r>
      <w:r>
        <w:rPr>
          <w:spacing w:val="29"/>
          <w:w w:val="95"/>
          <w:sz w:val="32"/>
        </w:rPr>
        <w:t> </w:t>
      </w:r>
      <w:r>
        <w:rPr>
          <w:sz w:val="32"/>
        </w:rPr>
        <w:t>检查、评价本校的教育教学工作，提高办学质量和办学效益；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20" w:lineRule="auto" w:before="0" w:after="0"/>
        <w:ind w:left="116" w:right="436" w:firstLine="640"/>
        <w:jc w:val="left"/>
        <w:rPr>
          <w:sz w:val="32"/>
        </w:rPr>
      </w:pPr>
      <w:r>
        <w:rPr>
          <w:w w:val="95"/>
          <w:sz w:val="32"/>
        </w:rPr>
        <w:t>按照义务教育课程计划，开齐课程，开足课时，认真实施教育</w:t>
      </w:r>
      <w:r>
        <w:rPr>
          <w:sz w:val="32"/>
        </w:rPr>
        <w:t>教学管理，全面推进素质教育，全面提高教育教学质量。</w:t>
      </w:r>
    </w:p>
    <w:p>
      <w:pPr>
        <w:spacing w:after="0" w:line="220" w:lineRule="auto"/>
        <w:jc w:val="left"/>
        <w:rPr>
          <w:sz w:val="32"/>
        </w:rPr>
        <w:sectPr>
          <w:pgSz w:w="11910" w:h="16840"/>
          <w:pgMar w:header="0" w:footer="1549" w:top="1520" w:bottom="1820" w:left="1300" w:right="660"/>
        </w:sectPr>
      </w:pPr>
    </w:p>
    <w:p>
      <w:pPr>
        <w:pStyle w:val="BodyText"/>
        <w:spacing w:line="556" w:lineRule="exact"/>
        <w:ind w:left="756"/>
      </w:pPr>
      <w:bookmarkStart w:name="（二）2023年重点工作 " w:id="6"/>
      <w:bookmarkEnd w:id="6"/>
      <w:r>
        <w:rPr/>
      </w:r>
      <w:r>
        <w:rPr/>
        <w:t>（二）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5"/>
        </w:rPr>
        <w:t> </w:t>
      </w:r>
      <w:r>
        <w:rPr/>
        <w:t>年重点工作</w:t>
      </w:r>
    </w:p>
    <w:p>
      <w:pPr>
        <w:pStyle w:val="BodyText"/>
        <w:spacing w:line="220" w:lineRule="auto" w:before="8"/>
        <w:ind w:left="116" w:right="278" w:firstLine="640"/>
      </w:pPr>
      <w:r>
        <w:rPr>
          <w:rFonts w:ascii="Times New Roman" w:hAnsi="Times New Roman" w:eastAsia="Times New Roman"/>
        </w:rPr>
        <w:t>2023</w:t>
      </w:r>
      <w:r>
        <w:rPr>
          <w:rFonts w:ascii="Times New Roman" w:hAnsi="Times New Roman" w:eastAsia="Times New Roman"/>
          <w:spacing w:val="-4"/>
        </w:rPr>
        <w:t> </w:t>
      </w:r>
      <w:r>
        <w:rPr>
          <w:spacing w:val="-20"/>
        </w:rPr>
        <w:t>年学校继续坚持“以仁为本、立德树人”的办学宗旨和“正</w:t>
      </w:r>
      <w:r>
        <w:rPr/>
        <w:t>心明道，格致求真”的办学理念，结合地方优势“传承古蜀遗风，</w:t>
      </w:r>
      <w:r>
        <w:rPr>
          <w:spacing w:val="1"/>
        </w:rPr>
        <w:t> </w:t>
      </w:r>
      <w:r>
        <w:rPr>
          <w:spacing w:val="-15"/>
          <w:w w:val="95"/>
        </w:rPr>
        <w:t>浸润天府文化”，努力实现“蜀韵浓、品质优、特色靓”的办学目标，</w:t>
      </w:r>
      <w:r>
        <w:rPr>
          <w:spacing w:val="1"/>
          <w:w w:val="95"/>
        </w:rPr>
        <w:t> </w:t>
      </w:r>
      <w:r>
        <w:rPr/>
        <w:t>彰显“弘扬鱼凫精神，涵养正道人生，打造蜀韵书院，凸显艺体优势”的办学特色，依法治校，规范管理的办学模式，真正达到一流</w:t>
      </w:r>
      <w:r>
        <w:rPr>
          <w:w w:val="95"/>
        </w:rPr>
        <w:t>的领导班子、一流的管理水平、一流的教师队伍、一流的办学条件、</w:t>
      </w:r>
      <w:r>
        <w:rPr>
          <w:spacing w:val="27"/>
          <w:w w:val="95"/>
        </w:rPr>
        <w:t> </w:t>
      </w:r>
      <w:r>
        <w:rPr/>
        <w:t>一流的教育教学质量，让学生有特长、教学有特点、科研有效果，</w:t>
      </w:r>
      <w:r>
        <w:rPr>
          <w:spacing w:val="1"/>
        </w:rPr>
        <w:t> </w:t>
      </w:r>
      <w:r>
        <w:rPr/>
        <w:t>符合现代教育理念的一流学校。</w:t>
      </w:r>
    </w:p>
    <w:p>
      <w:pPr>
        <w:pStyle w:val="BodyText"/>
        <w:spacing w:line="510" w:lineRule="exact"/>
        <w:ind w:left="116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</w:rPr>
        <w:t>)</w:t>
      </w:r>
      <w:r>
        <w:rPr/>
        <w:t>全面推进教师队伍建设</w:t>
      </w:r>
      <w:r>
        <w:rPr>
          <w:rFonts w:ascii="Times New Roman" w:eastAsia="Times New Roman"/>
        </w:rPr>
        <w:t>,</w:t>
      </w:r>
      <w:r>
        <w:rPr/>
        <w:t>努力构建教师专业化成长的平台</w:t>
      </w:r>
    </w:p>
    <w:p>
      <w:pPr>
        <w:pStyle w:val="BodyText"/>
        <w:spacing w:line="220" w:lineRule="auto" w:before="9"/>
        <w:ind w:left="116" w:right="436" w:firstLine="640"/>
        <w:jc w:val="both"/>
      </w:pPr>
      <w:r>
        <w:rPr>
          <w:w w:val="95"/>
        </w:rPr>
        <w:t>本学年继续突出“德治与法治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两大主题，多方位、多角度开展</w:t>
      </w:r>
      <w:r>
        <w:rPr>
          <w:spacing w:val="22"/>
          <w:w w:val="95"/>
        </w:rPr>
        <w:t> </w:t>
      </w:r>
      <w:r>
        <w:rPr>
          <w:w w:val="95"/>
        </w:rPr>
        <w:t>“养师德、练师能、铸师魂、育新人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活动，建设素质优良的教师队</w:t>
      </w:r>
      <w:r>
        <w:rPr>
          <w:spacing w:val="38"/>
          <w:w w:val="95"/>
        </w:rPr>
        <w:t> </w:t>
      </w:r>
      <w:r>
        <w:rPr/>
        <w:t>伍。</w:t>
      </w:r>
    </w:p>
    <w:p>
      <w:pPr>
        <w:pStyle w:val="BodyText"/>
        <w:spacing w:line="220" w:lineRule="auto"/>
        <w:ind w:left="756" w:right="1749"/>
      </w:pPr>
      <w:r>
        <w:rPr/>
        <w:t>认真扎实开展好</w:t>
      </w:r>
      <w:r>
        <w:rPr>
          <w:rFonts w:ascii="Times New Roman" w:hAnsi="Times New Roman" w:eastAsia="Times New Roman"/>
        </w:rPr>
        <w:t>“</w:t>
      </w:r>
      <w:r>
        <w:rPr/>
        <w:t>创先争优</w:t>
      </w:r>
      <w:r>
        <w:rPr>
          <w:rFonts w:ascii="Times New Roman" w:hAnsi="Times New Roman" w:eastAsia="Times New Roman"/>
        </w:rPr>
        <w:t>”</w:t>
      </w:r>
      <w:r>
        <w:rPr/>
        <w:t>活动</w:t>
      </w:r>
      <w:r>
        <w:rPr>
          <w:rFonts w:ascii="Times New Roman" w:hAnsi="Times New Roman" w:eastAsia="Times New Roman"/>
        </w:rPr>
        <w:t>,</w:t>
      </w:r>
      <w:r>
        <w:rPr/>
        <w:t>加强支部组织建设。</w:t>
      </w:r>
      <w:r>
        <w:rPr>
          <w:w w:val="95"/>
        </w:rPr>
        <w:t>切实加强教师思想道德教育</w:t>
      </w:r>
      <w:r>
        <w:rPr>
          <w:rFonts w:ascii="Times New Roman" w:hAnsi="Times New Roman" w:eastAsia="Times New Roman"/>
          <w:w w:val="95"/>
        </w:rPr>
        <w:t>,</w:t>
      </w:r>
      <w:r>
        <w:rPr>
          <w:w w:val="95"/>
        </w:rPr>
        <w:t>建设高素质的教师队伍。</w:t>
      </w:r>
    </w:p>
    <w:p>
      <w:pPr>
        <w:pStyle w:val="BodyText"/>
        <w:spacing w:line="220" w:lineRule="auto"/>
        <w:ind w:left="116" w:right="388" w:firstLine="640"/>
      </w:pPr>
      <w:r>
        <w:rPr>
          <w:rFonts w:ascii="Times New Roman" w:eastAsia="Times New Roman"/>
          <w:w w:val="95"/>
        </w:rPr>
        <w:t>3</w:t>
      </w:r>
      <w:r>
        <w:rPr>
          <w:w w:val="95"/>
        </w:rPr>
        <w:t>、以养师德、铸师魂、练师能为目标，积极开展比劳动纪律、</w:t>
      </w:r>
      <w:r>
        <w:rPr>
          <w:spacing w:val="37"/>
          <w:w w:val="95"/>
        </w:rPr>
        <w:t> </w:t>
      </w:r>
      <w:r>
        <w:rPr/>
        <w:t>看职业责任心；比教学技能</w:t>
      </w:r>
      <w:r>
        <w:rPr>
          <w:rFonts w:ascii="Times New Roman" w:eastAsia="Times New Roman"/>
        </w:rPr>
        <w:t>,</w:t>
      </w:r>
      <w:r>
        <w:rPr/>
        <w:t>看工作贡献。</w:t>
      </w:r>
    </w:p>
    <w:p>
      <w:pPr>
        <w:pStyle w:val="BodyText"/>
        <w:spacing w:line="220" w:lineRule="auto"/>
        <w:ind w:left="116" w:right="436" w:firstLine="64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w w:val="95"/>
        </w:rPr>
        <w:t>4</w:t>
      </w:r>
      <w:r>
        <w:rPr>
          <w:w w:val="95"/>
        </w:rPr>
        <w:t>、通过“走出去、请进来”等多形式，加强现代教育思想、先</w:t>
      </w:r>
      <w:r>
        <w:rPr>
          <w:spacing w:val="1"/>
          <w:w w:val="95"/>
        </w:rPr>
        <w:t> </w:t>
      </w:r>
      <w:r>
        <w:rPr/>
        <w:t>进教改经验的学习。扎实开展</w:t>
      </w:r>
      <w:r>
        <w:rPr>
          <w:rFonts w:ascii="Times New Roman" w:hAnsi="Times New Roman" w:eastAsia="Times New Roman"/>
        </w:rPr>
        <w:t>”</w:t>
      </w:r>
      <w:r>
        <w:rPr/>
        <w:t>有效课堂教学</w:t>
      </w:r>
      <w:r>
        <w:rPr>
          <w:rFonts w:ascii="Times New Roman" w:hAnsi="Times New Roman" w:eastAsia="Times New Roman"/>
        </w:rPr>
        <w:t>”</w:t>
      </w:r>
      <w:r>
        <w:rPr/>
        <w:t>、课题研究和校本培</w:t>
      </w:r>
      <w:r>
        <w:rPr>
          <w:w w:val="95"/>
        </w:rPr>
        <w:t>训工作</w:t>
      </w:r>
      <w:r>
        <w:rPr>
          <w:rFonts w:ascii="Times New Roman" w:hAnsi="Times New Roman" w:eastAsia="Times New Roman"/>
          <w:w w:val="95"/>
        </w:rPr>
        <w:t>,</w:t>
      </w:r>
      <w:r>
        <w:rPr>
          <w:w w:val="95"/>
        </w:rPr>
        <w:t>通过课堂研讨、专题讲座、教师座谈、教学竞赛课、学习汇</w:t>
      </w:r>
      <w:r>
        <w:rPr>
          <w:spacing w:val="108"/>
        </w:rPr>
        <w:t> </w:t>
      </w:r>
      <w:r>
        <w:rPr>
          <w:spacing w:val="-8"/>
          <w:w w:val="95"/>
        </w:rPr>
        <w:t>报课、信息技术等校本研修活动</w:t>
      </w:r>
      <w:r>
        <w:rPr>
          <w:rFonts w:ascii="Times New Roman" w:hAnsi="Times New Roman" w:eastAsia="Times New Roman"/>
          <w:w w:val="95"/>
        </w:rPr>
        <w:t>,</w:t>
      </w:r>
      <w:r>
        <w:rPr>
          <w:spacing w:val="-7"/>
          <w:w w:val="95"/>
        </w:rPr>
        <w:t>促进教师专业成长。继续实施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青蓝</w:t>
      </w:r>
      <w:r>
        <w:rPr>
          <w:spacing w:val="74"/>
          <w:w w:val="95"/>
        </w:rPr>
        <w:t> </w:t>
      </w:r>
      <w:r>
        <w:rPr/>
        <w:t>工程</w:t>
      </w:r>
      <w:r>
        <w:rPr>
          <w:rFonts w:ascii="Times New Roman" w:hAnsi="Times New Roman" w:eastAsia="Times New Roman"/>
        </w:rPr>
        <w:t>”“</w:t>
      </w:r>
      <w:r>
        <w:rPr/>
        <w:t>名师工程</w:t>
      </w:r>
      <w:r>
        <w:rPr>
          <w:rFonts w:ascii="Times New Roman" w:hAnsi="Times New Roman" w:eastAsia="Times New Roman"/>
        </w:rPr>
        <w:t>”</w:t>
      </w:r>
      <w:r>
        <w:rPr/>
        <w:t>，强化</w:t>
      </w:r>
      <w:r>
        <w:rPr>
          <w:rFonts w:ascii="Times New Roman" w:hAnsi="Times New Roman" w:eastAsia="Times New Roman"/>
        </w:rPr>
        <w:t>“</w:t>
      </w:r>
      <w:r>
        <w:rPr/>
        <w:t>学科带头人</w:t>
      </w:r>
      <w:r>
        <w:rPr>
          <w:rFonts w:ascii="Times New Roman" w:hAnsi="Times New Roman" w:eastAsia="Times New Roman"/>
        </w:rPr>
        <w:t>”</w:t>
      </w:r>
      <w:r>
        <w:rPr/>
        <w:t>，</w:t>
      </w:r>
      <w:r>
        <w:rPr>
          <w:rFonts w:ascii="Times New Roman" w:hAnsi="Times New Roman" w:eastAsia="Times New Roman"/>
        </w:rPr>
        <w:t>“</w:t>
      </w:r>
      <w:r>
        <w:rPr/>
        <w:t>教学能手</w:t>
      </w:r>
      <w:r>
        <w:rPr>
          <w:rFonts w:ascii="Times New Roman" w:hAnsi="Times New Roman" w:eastAsia="Times New Roman"/>
        </w:rPr>
        <w:t>”</w:t>
      </w:r>
      <w:r>
        <w:rPr/>
        <w:t>争创意识，搭建教师成长平台，引导广大教师自觉地走专家引领、行动反思、群体互助的道路，打造一支</w:t>
      </w:r>
      <w:r>
        <w:rPr>
          <w:rFonts w:ascii="Times New Roman" w:hAnsi="Times New Roman" w:eastAsia="Times New Roman"/>
        </w:rPr>
        <w:t>“</w:t>
      </w:r>
      <w:r>
        <w:rPr/>
        <w:t>学生欢迎，家长满意，同行信望</w:t>
      </w:r>
      <w:r>
        <w:rPr>
          <w:rFonts w:ascii="Times New Roman" w:hAnsi="Times New Roman" w:eastAsia="Times New Roman"/>
        </w:rPr>
        <w:t>,</w:t>
      </w:r>
      <w:r>
        <w:rPr/>
        <w:t>业绩突出</w:t>
      </w:r>
      <w:r>
        <w:rPr>
          <w:rFonts w:ascii="Times New Roman" w:hAnsi="Times New Roman" w:eastAsia="Times New Roman"/>
        </w:rPr>
        <w:t>”</w:t>
      </w:r>
    </w:p>
    <w:p>
      <w:pPr>
        <w:spacing w:after="0" w:line="220" w:lineRule="auto"/>
        <w:jc w:val="both"/>
        <w:rPr>
          <w:rFonts w:ascii="Times New Roman" w:hAnsi="Times New Roman" w:eastAsia="Times New Roman"/>
        </w:rPr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line="556" w:lineRule="exact"/>
        <w:ind w:left="116"/>
      </w:pPr>
      <w:r>
        <w:rPr/>
        <w:t>的优秀教师队伍。</w:t>
      </w:r>
    </w:p>
    <w:p>
      <w:pPr>
        <w:pStyle w:val="BodyText"/>
        <w:spacing w:line="220" w:lineRule="auto" w:before="8"/>
        <w:ind w:left="116" w:right="438" w:firstLine="640"/>
      </w:pPr>
      <w:r>
        <w:rPr>
          <w:rFonts w:ascii="Times New Roman" w:eastAsia="Times New Roman"/>
          <w:w w:val="95"/>
        </w:rPr>
        <w:t>5</w:t>
      </w:r>
      <w:r>
        <w:rPr>
          <w:w w:val="95"/>
        </w:rPr>
        <w:t>、加强班主任、辅导员队伍建设</w:t>
      </w:r>
      <w:r>
        <w:rPr>
          <w:rFonts w:ascii="Times New Roman" w:eastAsia="Times New Roman"/>
          <w:w w:val="95"/>
        </w:rPr>
        <w:t>,</w:t>
      </w:r>
      <w:r>
        <w:rPr>
          <w:w w:val="95"/>
        </w:rPr>
        <w:t>努力打造一支素质优良、精干</w:t>
      </w:r>
      <w:r>
        <w:rPr>
          <w:spacing w:val="1"/>
          <w:w w:val="95"/>
        </w:rPr>
        <w:t> </w:t>
      </w:r>
      <w:r>
        <w:rPr/>
        <w:t>实效、开拓进取的班主任队伍。</w:t>
      </w:r>
    </w:p>
    <w:p>
      <w:pPr>
        <w:pStyle w:val="BodyText"/>
        <w:spacing w:line="220" w:lineRule="auto"/>
        <w:ind w:left="116" w:right="439" w:firstLine="640"/>
        <w:jc w:val="both"/>
      </w:pPr>
      <w:r>
        <w:rPr>
          <w:rFonts w:ascii="Times New Roman" w:hAnsi="Times New Roman" w:eastAsia="Times New Roman"/>
          <w:w w:val="95"/>
        </w:rPr>
        <w:t>6</w:t>
      </w:r>
      <w:r>
        <w:rPr>
          <w:w w:val="95"/>
        </w:rPr>
        <w:t>、加强干部队伍建设，逐步提升管理水平。学校领导班子成员</w:t>
      </w:r>
      <w:r>
        <w:rPr>
          <w:spacing w:val="1"/>
          <w:w w:val="95"/>
        </w:rPr>
        <w:t> </w:t>
      </w:r>
      <w:r>
        <w:rPr/>
        <w:t>要严格执行中小学教师《职业道德规范》和</w:t>
      </w:r>
      <w:r>
        <w:rPr>
          <w:rFonts w:ascii="Times New Roman" w:hAnsi="Times New Roman" w:eastAsia="Times New Roman"/>
        </w:rPr>
        <w:t>“</w:t>
      </w:r>
      <w:r>
        <w:rPr/>
        <w:t>八条禁令</w:t>
      </w:r>
      <w:r>
        <w:rPr>
          <w:rFonts w:ascii="Times New Roman" w:hAnsi="Times New Roman" w:eastAsia="Times New Roman"/>
        </w:rPr>
        <w:t>”</w:t>
      </w:r>
      <w:r>
        <w:rPr/>
        <w:t>，堂堂正正</w:t>
      </w:r>
      <w:r>
        <w:rPr>
          <w:w w:val="95"/>
        </w:rPr>
        <w:t>做人</w:t>
      </w:r>
      <w:r>
        <w:rPr>
          <w:rFonts w:ascii="Times New Roman" w:hAnsi="Times New Roman" w:eastAsia="Times New Roman"/>
          <w:w w:val="95"/>
        </w:rPr>
        <w:t>,</w:t>
      </w:r>
      <w:r>
        <w:rPr>
          <w:w w:val="95"/>
        </w:rPr>
        <w:t>清清白白做事。努力做到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三个关注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和“八个能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：关注从教时</w:t>
      </w:r>
      <w:r>
        <w:rPr>
          <w:spacing w:val="1"/>
          <w:w w:val="95"/>
        </w:rPr>
        <w:t> </w:t>
      </w:r>
      <w:r>
        <w:rPr/>
        <w:t>间短、教育教学经验少的教师，关注薄弱、劣势学科教师，关注有不良反映的教师；能带头、能主动、能积极、能负责、能协作、能服务、能守纪、能学习。行政成员还应能上课，常听课，会评课。在教育教学管理活动中不说外行话</w:t>
      </w:r>
      <w:r>
        <w:rPr>
          <w:rFonts w:ascii="Times New Roman" w:hAnsi="Times New Roman" w:eastAsia="Times New Roman"/>
        </w:rPr>
        <w:t>,</w:t>
      </w:r>
      <w:r>
        <w:rPr/>
        <w:t>不做外行事。</w:t>
      </w:r>
    </w:p>
    <w:p>
      <w:pPr>
        <w:pStyle w:val="BodyText"/>
        <w:spacing w:line="513" w:lineRule="exact"/>
        <w:ind w:left="756"/>
      </w:pPr>
      <w:r>
        <w:rPr>
          <w:rFonts w:ascii="Times New Roman" w:eastAsia="Times New Roman"/>
        </w:rPr>
        <w:t>7</w:t>
      </w:r>
      <w:r>
        <w:rPr>
          <w:spacing w:val="-12"/>
        </w:rPr>
        <w:t>、继续开展好教师继续教育工作</w:t>
      </w:r>
      <w:r>
        <w:rPr>
          <w:rFonts w:ascii="Times New Roman" w:eastAsia="Times New Roman"/>
        </w:rPr>
        <w:t>,</w:t>
      </w:r>
      <w:r>
        <w:rPr/>
        <w:t>组织教师参加远程培训并完成</w:t>
      </w:r>
    </w:p>
    <w:p>
      <w:pPr>
        <w:pStyle w:val="BodyText"/>
        <w:spacing w:line="540" w:lineRule="exact"/>
        <w:ind w:left="116"/>
      </w:pPr>
      <w:r>
        <w:rPr/>
        <w:t>远程培训考核任务</w:t>
      </w:r>
      <w:r>
        <w:rPr>
          <w:rFonts w:ascii="Times New Roman" w:eastAsia="Times New Roman"/>
        </w:rPr>
        <w:t>,</w:t>
      </w:r>
      <w:r>
        <w:rPr/>
        <w:t>做好教师的继续教育年度考核认定工作。</w:t>
      </w:r>
    </w:p>
    <w:p>
      <w:pPr>
        <w:pStyle w:val="BodyText"/>
        <w:spacing w:line="565" w:lineRule="exact"/>
        <w:ind w:left="756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</w:rPr>
        <w:t>)</w:t>
      </w:r>
      <w:r>
        <w:rPr/>
        <w:t>以质量为中心</w:t>
      </w:r>
      <w:r>
        <w:rPr>
          <w:rFonts w:ascii="Times New Roman" w:eastAsia="Times New Roman"/>
        </w:rPr>
        <w:t>,</w:t>
      </w:r>
      <w:r>
        <w:rPr/>
        <w:t>以课改为抓手</w:t>
      </w:r>
      <w:r>
        <w:rPr>
          <w:rFonts w:ascii="Times New Roman" w:eastAsia="Times New Roman"/>
        </w:rPr>
        <w:t>,</w:t>
      </w:r>
      <w:r>
        <w:rPr/>
        <w:t>以教学研为载体</w:t>
      </w:r>
      <w:r>
        <w:rPr>
          <w:rFonts w:ascii="Times New Roman" w:eastAsia="Times New Roman"/>
        </w:rPr>
        <w:t>,</w:t>
      </w:r>
      <w:r>
        <w:rPr/>
        <w:t>规范教学行</w:t>
      </w:r>
    </w:p>
    <w:p>
      <w:pPr>
        <w:pStyle w:val="BodyText"/>
        <w:spacing w:line="511" w:lineRule="exact"/>
        <w:ind w:left="116"/>
      </w:pPr>
      <w:r>
        <w:rPr>
          <w:w w:val="99"/>
        </w:rPr>
        <w:t>为</w:t>
      </w:r>
    </w:p>
    <w:p>
      <w:pPr>
        <w:pStyle w:val="BodyText"/>
        <w:spacing w:line="565" w:lineRule="exact"/>
        <w:ind w:left="756"/>
      </w:pPr>
      <w:r>
        <w:rPr>
          <w:rFonts w:ascii="Times New Roman" w:eastAsia="Times New Roman"/>
          <w:spacing w:val="-3"/>
        </w:rPr>
        <w:t>1</w:t>
      </w:r>
      <w:r>
        <w:rPr>
          <w:spacing w:val="-3"/>
        </w:rPr>
        <w:t>、加强教学常规管理，落实教学常规</w:t>
      </w:r>
      <w:r>
        <w:rPr>
          <w:rFonts w:ascii="Times New Roman" w:eastAsia="Times New Roman"/>
          <w:spacing w:val="-2"/>
        </w:rPr>
        <w:t>,</w:t>
      </w:r>
      <w:r>
        <w:rPr>
          <w:spacing w:val="-2"/>
        </w:rPr>
        <w:t>规范教学行为，提高教育</w:t>
      </w:r>
    </w:p>
    <w:p>
      <w:pPr>
        <w:pStyle w:val="BodyText"/>
        <w:spacing w:line="515" w:lineRule="exact"/>
        <w:ind w:left="116"/>
      </w:pPr>
      <w:r>
        <w:rPr/>
        <w:t>教学质量。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20" w:lineRule="auto" w:before="9" w:after="0"/>
        <w:ind w:left="116" w:right="549" w:firstLine="640"/>
        <w:jc w:val="both"/>
        <w:rPr>
          <w:sz w:val="32"/>
        </w:rPr>
      </w:pPr>
      <w:r>
        <w:rPr>
          <w:sz w:val="32"/>
        </w:rPr>
        <w:t>切实抓好“教学常规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工作</w:t>
      </w:r>
      <w:r>
        <w:rPr>
          <w:rFonts w:ascii="Times New Roman" w:hAnsi="Times New Roman" w:eastAsia="Times New Roman"/>
          <w:sz w:val="32"/>
        </w:rPr>
        <w:t>,</w:t>
      </w:r>
      <w:r>
        <w:rPr>
          <w:sz w:val="32"/>
        </w:rPr>
        <w:t>在教学“常规</w:t>
      </w:r>
      <w:r>
        <w:rPr>
          <w:rFonts w:ascii="Times New Roman" w:hAnsi="Times New Roman" w:eastAsia="Times New Roman"/>
          <w:sz w:val="32"/>
        </w:rPr>
        <w:t>”</w:t>
      </w:r>
      <w:r>
        <w:rPr>
          <w:sz w:val="32"/>
        </w:rPr>
        <w:t>上下功夫</w:t>
      </w:r>
      <w:r>
        <w:rPr>
          <w:rFonts w:ascii="Times New Roman" w:hAnsi="Times New Roman" w:eastAsia="Times New Roman"/>
          <w:sz w:val="32"/>
        </w:rPr>
        <w:t>,</w:t>
      </w:r>
      <w:r>
        <w:rPr>
          <w:sz w:val="32"/>
        </w:rPr>
        <w:t>从备</w:t>
      </w:r>
      <w:r>
        <w:rPr>
          <w:w w:val="95"/>
          <w:sz w:val="32"/>
        </w:rPr>
        <w:t>课有效性、上课高效性、作业精选性、检测考查发展性、培优帮困</w:t>
      </w:r>
      <w:r>
        <w:rPr>
          <w:spacing w:val="60"/>
          <w:w w:val="95"/>
          <w:sz w:val="32"/>
        </w:rPr>
        <w:t> </w:t>
      </w:r>
      <w:r>
        <w:rPr>
          <w:sz w:val="32"/>
        </w:rPr>
        <w:t>及时性入手</w:t>
      </w:r>
      <w:r>
        <w:rPr>
          <w:rFonts w:ascii="Times New Roman" w:hAnsi="Times New Roman" w:eastAsia="Times New Roman"/>
          <w:sz w:val="32"/>
        </w:rPr>
        <w:t>,</w:t>
      </w:r>
      <w:r>
        <w:rPr>
          <w:sz w:val="32"/>
        </w:rPr>
        <w:t>落实每月一次检查制度</w:t>
      </w:r>
      <w:r>
        <w:rPr>
          <w:rFonts w:ascii="Times New Roman" w:hAnsi="Times New Roman" w:eastAsia="Times New Roman"/>
          <w:sz w:val="32"/>
        </w:rPr>
        <w:t>,</w:t>
      </w:r>
      <w:r>
        <w:rPr>
          <w:sz w:val="32"/>
        </w:rPr>
        <w:t>写好检查情况记载并及时与教</w:t>
      </w:r>
    </w:p>
    <w:p>
      <w:pPr>
        <w:pStyle w:val="BodyText"/>
        <w:spacing w:line="220" w:lineRule="auto"/>
        <w:ind w:left="116" w:right="278"/>
      </w:pPr>
      <w:r>
        <w:rPr>
          <w:w w:val="95"/>
        </w:rPr>
        <w:t>师反馈。教学常规检查本着严谨治学、精细管理、科学规范的原则，</w:t>
      </w:r>
      <w:r>
        <w:rPr>
          <w:spacing w:val="27"/>
          <w:w w:val="95"/>
        </w:rPr>
        <w:t> </w:t>
      </w:r>
      <w:r>
        <w:rPr/>
        <w:t>继续坚持定期检查与平时检查相结合，教导处检查与分管行政检查相结合</w:t>
      </w:r>
      <w:r>
        <w:rPr>
          <w:rFonts w:ascii="Times New Roman" w:eastAsia="Times New Roman"/>
        </w:rPr>
        <w:t>,</w:t>
      </w:r>
      <w:r>
        <w:rPr/>
        <w:t>注重教学指导和质量评价</w:t>
      </w:r>
      <w:r>
        <w:rPr>
          <w:rFonts w:ascii="Times New Roman" w:eastAsia="Times New Roman"/>
        </w:rPr>
        <w:t>,</w:t>
      </w:r>
      <w:r>
        <w:rPr/>
        <w:t>为老师的年度业务考核提供详实</w:t>
      </w:r>
    </w:p>
    <w:p>
      <w:pPr>
        <w:pStyle w:val="BodyText"/>
        <w:spacing w:line="523" w:lineRule="exact"/>
        <w:ind w:left="116"/>
      </w:pPr>
      <w:r>
        <w:rPr/>
        <w:t>的、可靠的依据。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565" w:lineRule="exact" w:before="0" w:after="0"/>
        <w:ind w:left="1556" w:right="0" w:hanging="801"/>
        <w:jc w:val="left"/>
        <w:rPr>
          <w:sz w:val="32"/>
        </w:rPr>
      </w:pPr>
      <w:r>
        <w:rPr>
          <w:sz w:val="32"/>
        </w:rPr>
        <w:t>继续贯彻课程标准，开齐开足课程</w:t>
      </w:r>
      <w:r>
        <w:rPr>
          <w:rFonts w:ascii="Times New Roman" w:eastAsia="Times New Roman"/>
          <w:sz w:val="32"/>
        </w:rPr>
        <w:t>,</w:t>
      </w:r>
      <w:r>
        <w:rPr>
          <w:sz w:val="32"/>
        </w:rPr>
        <w:t>保证学生的活动时间。</w:t>
      </w:r>
    </w:p>
    <w:p>
      <w:pPr>
        <w:spacing w:after="0" w:line="565" w:lineRule="exact"/>
        <w:jc w:val="left"/>
        <w:rPr>
          <w:sz w:val="32"/>
        </w:rPr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line="220" w:lineRule="auto" w:before="25"/>
        <w:ind w:left="116" w:right="436"/>
        <w:jc w:val="both"/>
      </w:pPr>
      <w:r>
        <w:rPr>
          <w:w w:val="95"/>
        </w:rPr>
        <w:t>切实提高课堂教学效率和水平</w:t>
      </w:r>
      <w:r>
        <w:rPr>
          <w:rFonts w:ascii="Times New Roman" w:eastAsia="Times New Roman"/>
          <w:w w:val="95"/>
        </w:rPr>
        <w:t>,</w:t>
      </w:r>
      <w:r>
        <w:rPr>
          <w:spacing w:val="13"/>
          <w:w w:val="95"/>
        </w:rPr>
        <w:t>向 </w:t>
      </w:r>
      <w:r>
        <w:rPr>
          <w:rFonts w:ascii="Times New Roman" w:eastAsia="Times New Roman"/>
          <w:w w:val="95"/>
        </w:rPr>
        <w:t>40</w:t>
      </w:r>
      <w:r>
        <w:rPr>
          <w:rFonts w:ascii="Times New Roman" w:eastAsia="Times New Roman"/>
          <w:spacing w:val="130"/>
        </w:rPr>
        <w:t> </w:t>
      </w:r>
      <w:r>
        <w:rPr>
          <w:spacing w:val="-13"/>
          <w:w w:val="95"/>
        </w:rPr>
        <w:t>分钟要质量。突出学科特点，努</w:t>
      </w:r>
      <w:r>
        <w:rPr/>
        <w:t>力形成富有学校的特色学科教学。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20" w:lineRule="auto" w:before="0" w:after="0"/>
        <w:ind w:left="116" w:right="439" w:firstLine="640"/>
        <w:jc w:val="both"/>
        <w:rPr>
          <w:sz w:val="32"/>
        </w:rPr>
      </w:pPr>
      <w:r>
        <w:rPr>
          <w:sz w:val="32"/>
        </w:rPr>
        <w:t>加强教学档案及教务管理工作</w:t>
      </w:r>
      <w:r>
        <w:rPr>
          <w:rFonts w:ascii="Times New Roman" w:eastAsia="Times New Roman"/>
          <w:sz w:val="32"/>
        </w:rPr>
        <w:t>,</w:t>
      </w:r>
      <w:r>
        <w:rPr>
          <w:spacing w:val="-8"/>
          <w:sz w:val="32"/>
        </w:rPr>
        <w:t>规范力学行为。对各项教</w:t>
      </w:r>
      <w:r>
        <w:rPr>
          <w:sz w:val="32"/>
        </w:rPr>
        <w:t>学活动、教师业务档案、教研成果、获奖情况等进行详实记载，统</w:t>
      </w:r>
      <w:r>
        <w:rPr>
          <w:w w:val="95"/>
          <w:sz w:val="32"/>
        </w:rPr>
        <w:t>一归档</w:t>
      </w:r>
      <w:r>
        <w:rPr>
          <w:rFonts w:ascii="Times New Roman" w:eastAsia="Times New Roman"/>
          <w:w w:val="95"/>
          <w:sz w:val="32"/>
        </w:rPr>
        <w:t>,</w:t>
      </w:r>
      <w:r>
        <w:rPr>
          <w:w w:val="95"/>
          <w:sz w:val="32"/>
        </w:rPr>
        <w:t>为教师的专业化成长、评价表彰提供真实详实的第一手资料</w:t>
      </w:r>
      <w:r>
        <w:rPr>
          <w:spacing w:val="89"/>
          <w:sz w:val="32"/>
        </w:rPr>
        <w:t> </w:t>
      </w:r>
      <w:r>
        <w:rPr>
          <w:sz w:val="32"/>
        </w:rPr>
        <w:t>。</w:t>
      </w:r>
    </w:p>
    <w:p>
      <w:pPr>
        <w:pStyle w:val="BodyText"/>
        <w:spacing w:line="220" w:lineRule="auto"/>
        <w:ind w:left="116" w:right="117"/>
      </w:pPr>
      <w:r>
        <w:rPr>
          <w:w w:val="95"/>
        </w:rPr>
        <w:t>做好教学服务工作，提高服务意识</w:t>
      </w:r>
      <w:r>
        <w:rPr>
          <w:rFonts w:ascii="Times New Roman" w:eastAsia="Times New Roman"/>
          <w:w w:val="95"/>
        </w:rPr>
        <w:t>,</w:t>
      </w:r>
      <w:r>
        <w:rPr>
          <w:w w:val="95"/>
        </w:rPr>
        <w:t>加强学籍管理</w:t>
      </w:r>
      <w:r>
        <w:rPr>
          <w:rFonts w:ascii="Times New Roman" w:eastAsia="Times New Roman"/>
          <w:w w:val="95"/>
        </w:rPr>
        <w:t>,</w:t>
      </w:r>
      <w:r>
        <w:rPr>
          <w:w w:val="95"/>
        </w:rPr>
        <w:t>当好调度和调控员，</w:t>
      </w:r>
      <w:r>
        <w:rPr>
          <w:spacing w:val="36"/>
          <w:w w:val="95"/>
        </w:rPr>
        <w:t> </w:t>
      </w:r>
      <w:r>
        <w:rPr/>
        <w:t>确保学校教育教学工作正常开展。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526" w:lineRule="exact" w:before="0" w:after="0"/>
        <w:ind w:left="1556" w:right="0" w:hanging="801"/>
        <w:jc w:val="left"/>
        <w:rPr>
          <w:sz w:val="32"/>
        </w:rPr>
      </w:pPr>
      <w:r>
        <w:rPr>
          <w:sz w:val="32"/>
        </w:rPr>
        <w:t>抓好学生学习习惯养成和学法指导工作。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20" w:lineRule="auto" w:before="0" w:after="0"/>
        <w:ind w:left="116" w:right="439" w:firstLine="640"/>
        <w:jc w:val="both"/>
        <w:rPr>
          <w:sz w:val="32"/>
        </w:rPr>
      </w:pPr>
      <w:r>
        <w:rPr>
          <w:w w:val="95"/>
          <w:sz w:val="32"/>
        </w:rPr>
        <w:t>抓好毕业班的教育教学工作。一是要学习新理念，研究新</w:t>
      </w:r>
      <w:r>
        <w:rPr>
          <w:spacing w:val="1"/>
          <w:w w:val="95"/>
          <w:sz w:val="32"/>
        </w:rPr>
        <w:t> </w:t>
      </w:r>
      <w:r>
        <w:rPr>
          <w:sz w:val="32"/>
        </w:rPr>
        <w:t>思路、新方法、新题型；二是要发挥团队智慧，取长补短；三是扎实基础，强化训练；四是加强家校联系，为学生创造和谐温暖的成长环境。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220" w:lineRule="auto" w:before="0" w:after="0"/>
        <w:ind w:left="116" w:right="439" w:firstLine="640"/>
        <w:jc w:val="left"/>
        <w:rPr>
          <w:sz w:val="32"/>
        </w:rPr>
      </w:pPr>
      <w:r>
        <w:rPr>
          <w:w w:val="95"/>
          <w:sz w:val="32"/>
        </w:rPr>
        <w:t>积极开展教学研活动，强化向教科研要质量意识，强化年</w:t>
      </w:r>
      <w:r>
        <w:rPr>
          <w:spacing w:val="1"/>
          <w:w w:val="95"/>
          <w:sz w:val="32"/>
        </w:rPr>
        <w:t> </w:t>
      </w:r>
      <w:r>
        <w:rPr>
          <w:sz w:val="32"/>
        </w:rPr>
        <w:t>级组整体质量意识，形成教育合力。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526" w:lineRule="exact" w:before="0" w:after="0"/>
        <w:ind w:left="1556" w:right="0" w:hanging="801"/>
        <w:jc w:val="left"/>
        <w:rPr>
          <w:sz w:val="32"/>
        </w:rPr>
      </w:pPr>
      <w:r>
        <w:rPr>
          <w:sz w:val="32"/>
        </w:rPr>
        <w:t>切实加强学科教学同步，促进学生素质全面提升。</w:t>
      </w:r>
    </w:p>
    <w:p>
      <w:pPr>
        <w:pStyle w:val="BodyText"/>
        <w:spacing w:line="540" w:lineRule="exact"/>
        <w:ind w:left="756"/>
      </w:pPr>
      <w:r>
        <w:rPr/>
        <w:t>（三）以德育人，拓宽德育教育渠道，加强学生思想道德教育</w:t>
      </w:r>
    </w:p>
    <w:p>
      <w:pPr>
        <w:pStyle w:val="BodyText"/>
        <w:spacing w:line="220" w:lineRule="auto"/>
        <w:ind w:left="116" w:right="436" w:firstLine="640"/>
        <w:jc w:val="both"/>
      </w:pPr>
      <w:r>
        <w:rPr>
          <w:rFonts w:ascii="Times New Roman" w:hAnsi="Times New Roman" w:eastAsia="Times New Roman"/>
          <w:w w:val="95"/>
        </w:rPr>
        <w:t>1</w:t>
      </w:r>
      <w:r>
        <w:rPr>
          <w:w w:val="95"/>
        </w:rPr>
        <w:t>、牢固树立“育人为本、德育为先”的观念，整合学校一切德</w:t>
      </w:r>
      <w:r>
        <w:rPr>
          <w:spacing w:val="5"/>
          <w:w w:val="95"/>
        </w:rPr>
        <w:t> </w:t>
      </w:r>
      <w:r>
        <w:rPr>
          <w:w w:val="95"/>
        </w:rPr>
        <w:t>育力量，大力实施课程育人</w:t>
      </w:r>
      <w:r>
        <w:rPr>
          <w:rFonts w:ascii="Times New Roman" w:hAnsi="Times New Roman" w:eastAsia="Times New Roman"/>
          <w:w w:val="95"/>
        </w:rPr>
        <w:t>.</w:t>
      </w:r>
      <w:r>
        <w:rPr>
          <w:w w:val="95"/>
        </w:rPr>
        <w:t>文化育人、环境育人、活动育人，努力</w:t>
      </w:r>
      <w:r>
        <w:rPr>
          <w:spacing w:val="92"/>
        </w:rPr>
        <w:t> </w:t>
      </w:r>
      <w:r>
        <w:rPr/>
        <w:t>实现全员育人、全程育人、全面育人。</w:t>
      </w:r>
    </w:p>
    <w:p>
      <w:pPr>
        <w:pStyle w:val="BodyText"/>
        <w:spacing w:line="523" w:lineRule="exact"/>
        <w:ind w:left="756"/>
      </w:pPr>
      <w:r>
        <w:rPr>
          <w:rFonts w:ascii="Times New Roman" w:eastAsia="Times New Roman"/>
        </w:rPr>
        <w:t>2</w:t>
      </w:r>
      <w:r>
        <w:rPr>
          <w:spacing w:val="-27"/>
        </w:rPr>
        <w:t>、抓好行为规范教育，重视学生良好习惯的养成。落实《守则》、</w:t>
      </w:r>
    </w:p>
    <w:p>
      <w:pPr>
        <w:pStyle w:val="BodyText"/>
        <w:spacing w:line="220" w:lineRule="auto" w:before="2"/>
        <w:ind w:left="116" w:right="436"/>
        <w:jc w:val="both"/>
      </w:pPr>
      <w:r>
        <w:rPr/>
        <w:t>《中小学生一日常规》各项规定；落实班主任工作目标责任制、五项检查评比制；对常规检查评比进行改革，各项检查主要以学生干部和学生发展中心为主，落实专人负责，确保检查评比的公平、公</w:t>
      </w:r>
      <w:r>
        <w:rPr>
          <w:spacing w:val="-25"/>
          <w:w w:val="99"/>
        </w:rPr>
        <w:t>正、公开。继续加强礼仪常规教育。努力做到“五无”、“五有”：地</w:t>
      </w:r>
    </w:p>
    <w:p>
      <w:pPr>
        <w:spacing w:after="0" w:line="220" w:lineRule="auto"/>
        <w:jc w:val="both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line="220" w:lineRule="auto" w:before="25"/>
        <w:ind w:left="116" w:right="467"/>
        <w:jc w:val="both"/>
      </w:pPr>
      <w:r>
        <w:rPr>
          <w:w w:val="95"/>
        </w:rPr>
        <w:t>上无纸屑、墙上无污痕、桌面无刻画、门窗无破损</w:t>
      </w:r>
      <w:r>
        <w:rPr>
          <w:rFonts w:ascii="Times New Roman" w:hAnsi="Times New Roman" w:eastAsia="Times New Roman"/>
          <w:w w:val="95"/>
        </w:rPr>
        <w:t>.</w:t>
      </w:r>
      <w:r>
        <w:rPr>
          <w:w w:val="95"/>
        </w:rPr>
        <w:t>卫生无死角；课</w:t>
      </w:r>
      <w:r>
        <w:rPr>
          <w:spacing w:val="66"/>
          <w:w w:val="95"/>
        </w:rPr>
        <w:t> </w:t>
      </w:r>
      <w:r>
        <w:rPr/>
        <w:t>堂有纪律、课间有秩序、放学有队伍、语言有礼貌、举止有礼节。继续开展“家风家教”教育活动，并围绕该项活动开展讨论，征得家长意见，追求最优化的养成教育效果。</w:t>
      </w:r>
    </w:p>
    <w:p>
      <w:pPr>
        <w:pStyle w:val="BodyText"/>
        <w:spacing w:line="520" w:lineRule="exact"/>
        <w:ind w:left="756"/>
      </w:pPr>
      <w:r>
        <w:rPr>
          <w:rFonts w:ascii="Times New Roman" w:eastAsia="Times New Roman"/>
        </w:rPr>
        <w:t>3</w:t>
      </w:r>
      <w:r>
        <w:rPr/>
        <w:t>、努力抓好校园文化建设，以优美整洁的校园环境影响学生。</w:t>
      </w:r>
    </w:p>
    <w:p>
      <w:pPr>
        <w:pStyle w:val="BodyText"/>
        <w:spacing w:line="220" w:lineRule="auto" w:before="9"/>
        <w:ind w:left="116" w:right="436" w:firstLine="640"/>
        <w:jc w:val="both"/>
      </w:pPr>
      <w:r>
        <w:rPr>
          <w:rFonts w:ascii="Times New Roman" w:eastAsia="Times New Roman"/>
          <w:w w:val="95"/>
        </w:rPr>
        <w:t>4</w:t>
      </w:r>
      <w:r>
        <w:rPr>
          <w:w w:val="95"/>
        </w:rPr>
        <w:t>、创新德育常规活动开展形式，思考有创意并能调动师生积极</w:t>
      </w:r>
      <w:r>
        <w:rPr>
          <w:spacing w:val="1"/>
          <w:w w:val="95"/>
        </w:rPr>
        <w:t> </w:t>
      </w:r>
      <w:r>
        <w:rPr/>
        <w:t>性的评比方式，增强活动的新颖性、参与性，达到激励、教育的目的。</w:t>
      </w:r>
    </w:p>
    <w:p>
      <w:pPr>
        <w:pStyle w:val="BodyText"/>
        <w:spacing w:line="220" w:lineRule="auto"/>
        <w:ind w:left="116" w:right="388" w:firstLine="640"/>
      </w:pPr>
      <w:r>
        <w:rPr>
          <w:rFonts w:ascii="Times New Roman" w:eastAsia="Times New Roman"/>
          <w:w w:val="95"/>
        </w:rPr>
        <w:t>5</w:t>
      </w:r>
      <w:r>
        <w:rPr>
          <w:w w:val="95"/>
        </w:rPr>
        <w:t>、办好家长学校，抓好家长学校的组织管理和教育教学活动，</w:t>
      </w:r>
      <w:r>
        <w:rPr>
          <w:spacing w:val="37"/>
          <w:w w:val="95"/>
        </w:rPr>
        <w:t> </w:t>
      </w:r>
      <w:r>
        <w:rPr/>
        <w:t>进一步发挥家长委员会对学校工作的参与、指导和评价作用，形成学校教育、家庭教育和社会教育相互沟通与合作的教育网络。</w:t>
      </w:r>
    </w:p>
    <w:p>
      <w:pPr>
        <w:pStyle w:val="BodyText"/>
        <w:spacing w:line="220" w:lineRule="auto"/>
        <w:ind w:left="116" w:right="439" w:firstLine="640"/>
      </w:pPr>
      <w:r>
        <w:rPr>
          <w:rFonts w:ascii="Times New Roman" w:eastAsia="Times New Roman"/>
          <w:w w:val="95"/>
        </w:rPr>
        <w:t>6</w:t>
      </w:r>
      <w:r>
        <w:rPr>
          <w:w w:val="95"/>
        </w:rPr>
        <w:t>、做好德育科研工作，加强思想品德课的教学教研，优化课堂</w:t>
      </w:r>
      <w:r>
        <w:rPr>
          <w:spacing w:val="1"/>
          <w:w w:val="95"/>
        </w:rPr>
        <w:t> </w:t>
      </w:r>
      <w:r>
        <w:rPr/>
        <w:t>氛围，注重教育实效。</w:t>
      </w:r>
    </w:p>
    <w:p>
      <w:pPr>
        <w:pStyle w:val="BodyText"/>
        <w:spacing w:line="220" w:lineRule="auto"/>
        <w:ind w:left="116" w:right="436" w:firstLine="640"/>
        <w:jc w:val="both"/>
      </w:pPr>
      <w:r>
        <w:rPr>
          <w:rFonts w:ascii="Times New Roman" w:eastAsia="Times New Roman"/>
          <w:w w:val="95"/>
        </w:rPr>
        <w:t>7</w:t>
      </w:r>
      <w:r>
        <w:rPr>
          <w:w w:val="95"/>
        </w:rPr>
        <w:t>、注重心理健康教育。认真贯彻教育部《关于加强中小学校学</w:t>
      </w:r>
      <w:r>
        <w:rPr>
          <w:spacing w:val="5"/>
          <w:w w:val="95"/>
        </w:rPr>
        <w:t> </w:t>
      </w:r>
      <w:r>
        <w:rPr>
          <w:spacing w:val="-13"/>
          <w:w w:val="95"/>
        </w:rPr>
        <w:t>生心理健康教育的若干意见》，落实心理健康教育课，加强心理健康</w:t>
      </w:r>
      <w:r>
        <w:rPr>
          <w:spacing w:val="27"/>
          <w:w w:val="95"/>
        </w:rPr>
        <w:t> </w:t>
      </w:r>
      <w:r>
        <w:rPr/>
        <w:t>教育。能用正确的心态面对学生的心理发展，对学生出现的心理问题要加以疏导，不回避、不漠视。</w:t>
      </w:r>
    </w:p>
    <w:p>
      <w:pPr>
        <w:pStyle w:val="BodyText"/>
        <w:spacing w:line="545" w:lineRule="exact"/>
        <w:ind w:left="756"/>
      </w:pPr>
      <w:r>
        <w:rPr/>
        <w:t>（四）加强学校规范管理，强化工作执行力，提高校园管理水</w:t>
      </w:r>
    </w:p>
    <w:p>
      <w:pPr>
        <w:pStyle w:val="BodyText"/>
        <w:spacing w:line="494" w:lineRule="exact"/>
        <w:ind w:left="116"/>
      </w:pPr>
      <w:r>
        <w:rPr>
          <w:w w:val="99"/>
        </w:rPr>
        <w:t>平</w:t>
      </w:r>
    </w:p>
    <w:p>
      <w:pPr>
        <w:pStyle w:val="BodyText"/>
        <w:spacing w:line="565" w:lineRule="exact"/>
        <w:ind w:left="756"/>
      </w:pPr>
      <w:r>
        <w:rPr>
          <w:rFonts w:ascii="Times New Roman" w:eastAsia="Times New Roman"/>
        </w:rPr>
        <w:t>1</w:t>
      </w:r>
      <w:r>
        <w:rPr/>
        <w:t>、继续完善各项制度。进一步完善评优评先和竞聘上岗等规章</w:t>
      </w:r>
    </w:p>
    <w:p>
      <w:pPr>
        <w:pStyle w:val="BodyText"/>
        <w:spacing w:line="515" w:lineRule="exact"/>
        <w:ind w:left="116"/>
      </w:pPr>
      <w:r>
        <w:rPr/>
        <w:t>制度，形成有章可循、照章办事、违章必究的工作约束机制。进一</w:t>
      </w:r>
    </w:p>
    <w:p>
      <w:pPr>
        <w:pStyle w:val="BodyText"/>
        <w:spacing w:line="220" w:lineRule="auto" w:before="9"/>
        <w:ind w:left="116" w:right="549"/>
      </w:pPr>
      <w:r>
        <w:rPr>
          <w:w w:val="95"/>
        </w:rPr>
        <w:t>步完善党组织领导的校长负责制，加强对教师的师德、教学工作、</w:t>
      </w:r>
      <w:r>
        <w:rPr>
          <w:spacing w:val="60"/>
          <w:w w:val="95"/>
        </w:rPr>
        <w:t> </w:t>
      </w:r>
      <w:r>
        <w:rPr/>
        <w:t>考勤、业绩等方面的考核，形成规范化、制度化。</w:t>
      </w:r>
    </w:p>
    <w:p>
      <w:pPr>
        <w:pStyle w:val="BodyText"/>
        <w:spacing w:line="551" w:lineRule="exact"/>
        <w:ind w:left="756"/>
      </w:pPr>
      <w:r>
        <w:rPr>
          <w:rFonts w:ascii="Times New Roman" w:hAnsi="Times New Roman" w:eastAsia="Times New Roman"/>
          <w:spacing w:val="1"/>
        </w:rPr>
        <w:t>2</w:t>
      </w:r>
      <w:r>
        <w:rPr>
          <w:spacing w:val="-15"/>
        </w:rPr>
        <w:t>、实行“五项”管理，提升学校管理水平。一是坚持全员管理。</w:t>
      </w:r>
    </w:p>
    <w:p>
      <w:pPr>
        <w:spacing w:after="0" w:line="551" w:lineRule="exact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line="220" w:lineRule="auto" w:before="25"/>
        <w:ind w:left="116" w:right="523"/>
        <w:jc w:val="both"/>
      </w:pPr>
      <w:r>
        <w:rPr>
          <w:w w:val="95"/>
        </w:rPr>
        <w:t>号召全体教职工在做好本职工作的同时，关注学校事务，关心学校</w:t>
      </w:r>
      <w:r>
        <w:rPr>
          <w:spacing w:val="97"/>
        </w:rPr>
        <w:t> </w:t>
      </w:r>
      <w:r>
        <w:rPr>
          <w:w w:val="95"/>
        </w:rPr>
        <w:t>发展，积极为学校的发展出力献策；二是坚持目标管理。继续推行</w:t>
      </w:r>
      <w:r>
        <w:rPr>
          <w:spacing w:val="97"/>
        </w:rPr>
        <w:t> </w:t>
      </w:r>
      <w:r>
        <w:rPr>
          <w:w w:val="95"/>
        </w:rPr>
        <w:t>各部门办实事活动，规划并做好一件符合学校实际的、有创新、有</w:t>
      </w:r>
      <w:r>
        <w:rPr>
          <w:spacing w:val="97"/>
        </w:rPr>
        <w:t> </w:t>
      </w:r>
      <w:r>
        <w:rPr>
          <w:w w:val="95"/>
        </w:rPr>
        <w:t>实效、能提高办学水平的工作；创建年级工作特色，各年级组制定</w:t>
      </w:r>
      <w:r>
        <w:rPr>
          <w:spacing w:val="97"/>
        </w:rPr>
        <w:t> </w:t>
      </w:r>
      <w:r>
        <w:rPr>
          <w:w w:val="95"/>
        </w:rPr>
        <w:t>符合现有教师状况和学生年龄特征并具有独具特色的管理思路，发</w:t>
      </w:r>
      <w:r>
        <w:rPr>
          <w:spacing w:val="97"/>
        </w:rPr>
        <w:t> </w:t>
      </w:r>
      <w:r>
        <w:rPr>
          <w:w w:val="95"/>
        </w:rPr>
        <w:t>挥管理的最佳效益；全体教职工根据各自岗位任务，确定明确的奋</w:t>
      </w:r>
      <w:r>
        <w:rPr>
          <w:spacing w:val="97"/>
        </w:rPr>
        <w:t> </w:t>
      </w:r>
      <w:r>
        <w:rPr>
          <w:w w:val="95"/>
        </w:rPr>
        <w:t>斗目标并为实现之而不懈努力。三是坚持制度管理。本学期继续坚</w:t>
      </w:r>
      <w:r>
        <w:rPr>
          <w:spacing w:val="97"/>
        </w:rPr>
        <w:t> </w:t>
      </w:r>
      <w:r>
        <w:rPr>
          <w:w w:val="95"/>
        </w:rPr>
        <w:t>持分级、分层负责的管理方法，建立“党组织会决策—校长办公会</w:t>
      </w:r>
    </w:p>
    <w:p>
      <w:pPr>
        <w:pStyle w:val="BodyText"/>
        <w:spacing w:line="510" w:lineRule="exact"/>
        <w:ind w:left="116"/>
      </w:pPr>
      <w:r>
        <w:rPr>
          <w:spacing w:val="-6"/>
        </w:rPr>
        <w:t>决议—教代会商议—各部门执行—年级组</w:t>
      </w:r>
      <w:r>
        <w:rPr/>
        <w:t>（教研组</w:t>
      </w:r>
      <w:r>
        <w:rPr>
          <w:rFonts w:ascii="Times New Roman" w:hAnsi="Times New Roman" w:eastAsia="Times New Roman"/>
        </w:rPr>
        <w:t>)</w:t>
      </w:r>
      <w:r>
        <w:rPr/>
        <w:t>监督—教师履职”</w:t>
      </w:r>
    </w:p>
    <w:p>
      <w:pPr>
        <w:pStyle w:val="BodyText"/>
        <w:spacing w:line="220" w:lineRule="auto" w:before="9"/>
        <w:ind w:left="116" w:right="546"/>
        <w:jc w:val="both"/>
      </w:pPr>
      <w:r>
        <w:rPr>
          <w:w w:val="95"/>
        </w:rPr>
        <w:t>的线性管理机制，实行一级抓一级，一级管一级的管理模式；关注</w:t>
      </w:r>
      <w:r>
        <w:rPr>
          <w:spacing w:val="79"/>
          <w:w w:val="95"/>
        </w:rPr>
        <w:t> </w:t>
      </w:r>
      <w:r>
        <w:rPr>
          <w:w w:val="95"/>
        </w:rPr>
        <w:t>细节、重视过程，进一步将管理的视野深入到教育教学及各项活动</w:t>
      </w:r>
      <w:r>
        <w:rPr>
          <w:spacing w:val="79"/>
          <w:w w:val="95"/>
        </w:rPr>
        <w:t> </w:t>
      </w:r>
      <w:r>
        <w:rPr>
          <w:w w:val="95"/>
        </w:rPr>
        <w:t>的全过程，力求对教师的教学行为做出全面性的考核和评价；四是</w:t>
      </w:r>
      <w:r>
        <w:rPr>
          <w:spacing w:val="79"/>
          <w:w w:val="95"/>
        </w:rPr>
        <w:t> </w:t>
      </w:r>
      <w:r>
        <w:rPr>
          <w:w w:val="95"/>
        </w:rPr>
        <w:t>坚持工作问责制。按照“接受任务不讲价钱，落实任务不需督办，</w:t>
      </w:r>
      <w:r>
        <w:rPr>
          <w:spacing w:val="79"/>
          <w:w w:val="95"/>
        </w:rPr>
        <w:t> </w:t>
      </w:r>
      <w:r>
        <w:rPr>
          <w:w w:val="95"/>
        </w:rPr>
        <w:t>完成任务不拖时间”的要求，对认准的事，确定的事，抓住不放，</w:t>
      </w:r>
      <w:r>
        <w:rPr>
          <w:spacing w:val="79"/>
          <w:w w:val="95"/>
        </w:rPr>
        <w:t> </w:t>
      </w:r>
      <w:r>
        <w:rPr>
          <w:w w:val="95"/>
        </w:rPr>
        <w:t>一抓到底，实行工作责任追究制。对来信来访，做到有访必查，有</w:t>
      </w:r>
      <w:r>
        <w:rPr>
          <w:spacing w:val="63"/>
          <w:w w:val="95"/>
        </w:rPr>
        <w:t> </w:t>
      </w:r>
      <w:r>
        <w:rPr/>
        <w:t>查必果。</w:t>
      </w:r>
    </w:p>
    <w:p>
      <w:pPr>
        <w:pStyle w:val="BodyText"/>
        <w:spacing w:line="512" w:lineRule="exact"/>
        <w:ind w:left="756"/>
      </w:pPr>
      <w:r>
        <w:rPr>
          <w:rFonts w:ascii="Times New Roman" w:eastAsia="Times New Roman"/>
        </w:rPr>
        <w:t>3</w:t>
      </w:r>
      <w:r>
        <w:rPr/>
        <w:t>、加强特色建设，实施素质教育。树立全新的素质教育观念。</w:t>
      </w:r>
    </w:p>
    <w:p>
      <w:pPr>
        <w:pStyle w:val="BodyText"/>
        <w:spacing w:line="220" w:lineRule="auto" w:before="8"/>
        <w:ind w:left="116" w:right="278"/>
      </w:pPr>
      <w:r>
        <w:rPr/>
        <w:t>关注学生的探索、实践和创新能力，关注学生的情感态度、身体健</w:t>
      </w:r>
      <w:r>
        <w:rPr>
          <w:w w:val="95"/>
        </w:rPr>
        <w:t>康。充分发挥教育基地的作用，培养富有创新能力、求异思维能力、</w:t>
      </w:r>
      <w:r>
        <w:rPr>
          <w:spacing w:val="27"/>
          <w:w w:val="95"/>
        </w:rPr>
        <w:t> </w:t>
      </w:r>
      <w:r>
        <w:rPr/>
        <w:t>敢于质疑的学生。继续培养和打造高质量、高水平的音、体、美特长队伍。</w:t>
      </w:r>
    </w:p>
    <w:p>
      <w:pPr>
        <w:pStyle w:val="BodyText"/>
        <w:spacing w:line="520" w:lineRule="exact"/>
        <w:ind w:left="756"/>
      </w:pPr>
      <w:r>
        <w:rPr/>
        <w:t>（五）突出法制安全教育，打造平安校园</w:t>
      </w:r>
    </w:p>
    <w:p>
      <w:pPr>
        <w:pStyle w:val="BodyText"/>
        <w:spacing w:line="220" w:lineRule="auto" w:before="9"/>
        <w:ind w:left="116" w:right="439" w:firstLine="640"/>
      </w:pPr>
      <w:r>
        <w:rPr>
          <w:rFonts w:ascii="Times New Roman" w:eastAsia="Times New Roman"/>
          <w:w w:val="95"/>
        </w:rPr>
        <w:t>1</w:t>
      </w:r>
      <w:r>
        <w:rPr>
          <w:w w:val="95"/>
        </w:rPr>
        <w:t>、加强法制教育，坚持依法治教。密切警校联系，开展学生法</w:t>
      </w:r>
      <w:r>
        <w:rPr>
          <w:spacing w:val="1"/>
          <w:w w:val="95"/>
        </w:rPr>
        <w:t> </w:t>
      </w:r>
      <w:r>
        <w:rPr/>
        <w:t>律知识教育，增强学生遵纪守法意识，邀请校外辅导员、法制副校</w:t>
      </w:r>
    </w:p>
    <w:p>
      <w:pPr>
        <w:spacing w:after="0" w:line="220" w:lineRule="auto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line="220" w:lineRule="auto" w:before="25"/>
        <w:ind w:left="116" w:right="278"/>
      </w:pPr>
      <w:r>
        <w:rPr>
          <w:w w:val="95"/>
        </w:rPr>
        <w:t>长以及专家、学者到校对学生进行安全、法纪、卫生、消防、禁毒、</w:t>
      </w:r>
      <w:r>
        <w:rPr>
          <w:spacing w:val="27"/>
          <w:w w:val="95"/>
        </w:rPr>
        <w:t> </w:t>
      </w:r>
      <w:r>
        <w:rPr/>
        <w:t>国防等专题教育。发挥“关心下一代工作委员会”的作用，协调多方力量对未成年人进行思想道德教育。运用校会、晨会、班会、宣传栏、校园广摇等多种宣传教育形式，加强对学生的教育。继实加强与辖区派出所、消防、环保、社区的联系，调动社会力量参与未成年人教育，加强对学生成长记录袋的管理，发挥其作用。</w:t>
      </w:r>
    </w:p>
    <w:p>
      <w:pPr>
        <w:pStyle w:val="BodyText"/>
        <w:spacing w:line="515" w:lineRule="exact"/>
        <w:ind w:left="756"/>
      </w:pPr>
      <w:r>
        <w:rPr>
          <w:rFonts w:ascii="Times New Roman" w:eastAsia="Times New Roman"/>
        </w:rPr>
        <w:t>2</w:t>
      </w:r>
      <w:r>
        <w:rPr/>
        <w:t>、加强安全工作，建立安全责任制度，做到警钟常鸣。加强行</w:t>
      </w:r>
    </w:p>
    <w:p>
      <w:pPr>
        <w:pStyle w:val="BodyText"/>
        <w:spacing w:line="220" w:lineRule="auto" w:before="9"/>
        <w:ind w:left="116" w:right="549"/>
        <w:jc w:val="both"/>
      </w:pPr>
      <w:r>
        <w:rPr>
          <w:w w:val="95"/>
        </w:rPr>
        <w:t>政教师值周、值日工作，落实班主任、值日教师提前到校的制度，</w:t>
      </w:r>
      <w:r>
        <w:rPr>
          <w:spacing w:val="76"/>
          <w:w w:val="95"/>
        </w:rPr>
        <w:t> </w:t>
      </w:r>
      <w:r>
        <w:rPr>
          <w:w w:val="95"/>
        </w:rPr>
        <w:t>强化行政值日的职责，高度重视安全隐患的排查，健全安全应急机</w:t>
      </w:r>
      <w:r>
        <w:rPr>
          <w:spacing w:val="60"/>
          <w:w w:val="95"/>
        </w:rPr>
        <w:t> </w:t>
      </w:r>
      <w:r>
        <w:rPr/>
        <w:t>制和应急预案，确保校园及师生安全。</w:t>
      </w:r>
    </w:p>
    <w:p>
      <w:pPr>
        <w:pStyle w:val="BodyText"/>
        <w:spacing w:line="220" w:lineRule="auto"/>
        <w:ind w:left="116" w:right="438" w:firstLine="640"/>
        <w:jc w:val="both"/>
      </w:pPr>
      <w:r>
        <w:rPr>
          <w:rFonts w:ascii="Times New Roman" w:hAnsi="Times New Roman" w:eastAsia="Times New Roman"/>
        </w:rPr>
        <w:t>3</w:t>
      </w:r>
      <w:r>
        <w:rPr>
          <w:spacing w:val="-9"/>
        </w:rPr>
        <w:t>、坚持以人为本，上好“开学安全第一课”、安全教育课和法</w:t>
      </w:r>
      <w:r>
        <w:rPr/>
        <w:t>制教育课。开展平安校园创建活动，认真落实《中小学幼儿园安全</w:t>
      </w:r>
      <w:r>
        <w:rPr>
          <w:spacing w:val="-14"/>
          <w:w w:val="95"/>
        </w:rPr>
        <w:t>管理办法》，开展安全知识教育和防震、消防等各类避险演练，提高</w:t>
      </w:r>
      <w:r>
        <w:rPr>
          <w:spacing w:val="28"/>
          <w:w w:val="95"/>
        </w:rPr>
        <w:t> </w:t>
      </w:r>
      <w:r>
        <w:rPr/>
        <w:t>师生安全意识和自救互救能力。切实加强春季传染性疾病的防控工</w:t>
      </w:r>
      <w:r>
        <w:rPr>
          <w:w w:val="95"/>
        </w:rPr>
        <w:t>作，高度重视防汛</w:t>
      </w:r>
      <w:r>
        <w:rPr>
          <w:rFonts w:ascii="Times New Roman" w:hAnsi="Times New Roman" w:eastAsia="Times New Roman"/>
          <w:w w:val="95"/>
        </w:rPr>
        <w:t>.</w:t>
      </w:r>
      <w:r>
        <w:rPr>
          <w:w w:val="95"/>
        </w:rPr>
        <w:t>防溺水和交通安全教育工作，努力创建平安、文</w:t>
      </w:r>
      <w:r>
        <w:rPr>
          <w:spacing w:val="90"/>
        </w:rPr>
        <w:t> </w:t>
      </w:r>
      <w:r>
        <w:rPr/>
        <w:t>明、健康、和谐的校园。</w:t>
      </w:r>
    </w:p>
    <w:p>
      <w:pPr>
        <w:pStyle w:val="BodyText"/>
        <w:spacing w:line="515" w:lineRule="exact"/>
        <w:ind w:left="756"/>
      </w:pPr>
      <w:r>
        <w:rPr>
          <w:rFonts w:ascii="Times New Roman" w:hAnsi="Times New Roman" w:eastAsia="Times New Roman"/>
          <w:spacing w:val="1"/>
          <w:w w:val="99"/>
        </w:rPr>
        <w:t>4</w:t>
      </w:r>
      <w:r>
        <w:rPr>
          <w:spacing w:val="-8"/>
          <w:w w:val="99"/>
        </w:rPr>
        <w:t>、大力加强综合治理工作。认真做好“门前三包”，加强门卫</w:t>
      </w:r>
    </w:p>
    <w:p>
      <w:pPr>
        <w:pStyle w:val="BodyText"/>
        <w:spacing w:line="220" w:lineRule="auto" w:before="1"/>
        <w:ind w:left="116" w:right="549"/>
        <w:jc w:val="both"/>
      </w:pPr>
      <w:r>
        <w:rPr>
          <w:w w:val="95"/>
        </w:rPr>
        <w:t>值守工作，做好学校的信访工作和信息的报告制度，消除和化解学</w:t>
      </w:r>
      <w:r>
        <w:rPr>
          <w:spacing w:val="76"/>
          <w:w w:val="95"/>
        </w:rPr>
        <w:t> </w:t>
      </w:r>
      <w:r>
        <w:rPr>
          <w:w w:val="95"/>
        </w:rPr>
        <w:t>校内部的各种矛盾，认真落实社会治安和综合治理责任制，加强检</w:t>
      </w:r>
      <w:r>
        <w:rPr>
          <w:spacing w:val="60"/>
          <w:w w:val="95"/>
        </w:rPr>
        <w:t> </w:t>
      </w:r>
      <w:r>
        <w:rPr/>
        <w:t>查，狠抓落实，维护学校的稳定。</w:t>
      </w:r>
    </w:p>
    <w:p>
      <w:pPr>
        <w:pStyle w:val="BodyText"/>
        <w:spacing w:line="523" w:lineRule="exact"/>
        <w:ind w:left="756"/>
      </w:pPr>
      <w:r>
        <w:rPr>
          <w:w w:val="95"/>
        </w:rPr>
        <w:t>（六）统筹各项工作，创建和谐育人环境</w:t>
      </w:r>
    </w:p>
    <w:p>
      <w:pPr>
        <w:pStyle w:val="BodyText"/>
        <w:spacing w:line="220" w:lineRule="auto" w:before="9"/>
        <w:ind w:left="116" w:right="440" w:firstLine="640"/>
        <w:jc w:val="both"/>
      </w:pPr>
      <w:r>
        <w:rPr>
          <w:rFonts w:ascii="Times New Roman" w:eastAsia="Times New Roman"/>
          <w:w w:val="95"/>
        </w:rPr>
        <w:t>1</w:t>
      </w:r>
      <w:r>
        <w:rPr>
          <w:w w:val="95"/>
        </w:rPr>
        <w:t>、充分发挥工会组织的桥梁作用。关心教师的工作和生活，倾</w:t>
      </w:r>
      <w:r>
        <w:rPr>
          <w:spacing w:val="1"/>
          <w:w w:val="95"/>
        </w:rPr>
        <w:t> </w:t>
      </w:r>
      <w:r>
        <w:rPr/>
        <w:t>听群众的意见和呼声。积极开展文明健康的文体活动，是全体教师凝心聚力谋发展，形成校荣我荣的良好氛围。</w:t>
      </w:r>
    </w:p>
    <w:p>
      <w:pPr>
        <w:spacing w:after="0" w:line="220" w:lineRule="auto"/>
        <w:jc w:val="both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line="220" w:lineRule="auto" w:before="25"/>
        <w:ind w:left="116" w:right="439" w:firstLine="640"/>
      </w:pPr>
      <w:r>
        <w:rPr>
          <w:rFonts w:ascii="Times New Roman" w:eastAsia="Times New Roman"/>
          <w:w w:val="95"/>
        </w:rPr>
        <w:t>2</w:t>
      </w:r>
      <w:r>
        <w:rPr>
          <w:w w:val="95"/>
        </w:rPr>
        <w:t>、积极做好校务、政务、财务公开，制定科学合理的绩效分配</w:t>
      </w:r>
      <w:r>
        <w:rPr>
          <w:spacing w:val="1"/>
          <w:w w:val="95"/>
        </w:rPr>
        <w:t> </w:t>
      </w:r>
      <w:r>
        <w:rPr/>
        <w:t>方案</w:t>
      </w:r>
      <w:r>
        <w:rPr>
          <w:rFonts w:ascii="Times New Roman" w:eastAsia="Times New Roman"/>
        </w:rPr>
        <w:t>,</w:t>
      </w:r>
      <w:r>
        <w:rPr/>
        <w:t>充分调动教职工教书育人的积极性</w:t>
      </w:r>
      <w:r>
        <w:rPr>
          <w:rFonts w:ascii="Times New Roman" w:eastAsia="Times New Roman"/>
        </w:rPr>
        <w:t>,</w:t>
      </w:r>
      <w:r>
        <w:rPr/>
        <w:t>提高工作绩效。</w:t>
      </w:r>
    </w:p>
    <w:p>
      <w:pPr>
        <w:pStyle w:val="BodyText"/>
        <w:spacing w:line="220" w:lineRule="auto"/>
        <w:ind w:left="116" w:right="439" w:firstLine="640"/>
        <w:jc w:val="both"/>
      </w:pPr>
      <w:r>
        <w:rPr>
          <w:rFonts w:ascii="Times New Roman" w:eastAsia="Times New Roman"/>
          <w:w w:val="95"/>
        </w:rPr>
        <w:t>3</w:t>
      </w:r>
      <w:r>
        <w:rPr>
          <w:w w:val="95"/>
        </w:rPr>
        <w:t>、重视宣传工作。高度重视信息宣传工作，涌跃向各类媒体投</w:t>
      </w:r>
      <w:r>
        <w:rPr>
          <w:spacing w:val="1"/>
          <w:w w:val="95"/>
        </w:rPr>
        <w:t> </w:t>
      </w:r>
      <w:r>
        <w:rPr/>
        <w:t>稿，多渠道宣传学校各项工作。各部门按照原定的分工，做好组稿和发布工作</w:t>
      </w:r>
      <w:r>
        <w:rPr>
          <w:rFonts w:ascii="Times New Roman" w:eastAsia="Times New Roman"/>
        </w:rPr>
        <w:t>,</w:t>
      </w:r>
      <w:r>
        <w:rPr/>
        <w:t>突出新闻报道的时效性。</w:t>
      </w:r>
    </w:p>
    <w:p>
      <w:pPr>
        <w:pStyle w:val="BodyText"/>
        <w:spacing w:line="220" w:lineRule="auto"/>
        <w:ind w:left="116" w:right="436" w:firstLine="640"/>
        <w:jc w:val="both"/>
      </w:pPr>
      <w:r>
        <w:rPr>
          <w:rFonts w:ascii="Times New Roman" w:eastAsia="Times New Roman"/>
          <w:w w:val="95"/>
        </w:rPr>
        <w:t>4</w:t>
      </w:r>
      <w:r>
        <w:rPr>
          <w:w w:val="95"/>
        </w:rPr>
        <w:t>、做好开源节流、节能减排工作。学校后勤管理厉行节约，开</w:t>
      </w:r>
      <w:r>
        <w:rPr>
          <w:spacing w:val="1"/>
          <w:w w:val="95"/>
        </w:rPr>
        <w:t> </w:t>
      </w:r>
      <w:r>
        <w:rPr/>
        <w:t>源节流，管好用好学校的财力、物力。通过名种方式，促进学校的节约发展、清洁发展、安全发展。</w:t>
      </w:r>
    </w:p>
    <w:p>
      <w:pPr>
        <w:pStyle w:val="BodyText"/>
        <w:spacing w:line="220" w:lineRule="auto"/>
        <w:ind w:left="116" w:right="439" w:firstLine="640"/>
        <w:jc w:val="both"/>
      </w:pPr>
      <w:r>
        <w:rPr>
          <w:rFonts w:ascii="Times New Roman" w:eastAsia="Times New Roman"/>
          <w:w w:val="95"/>
        </w:rPr>
        <w:t>5</w:t>
      </w:r>
      <w:r>
        <w:rPr>
          <w:w w:val="95"/>
        </w:rPr>
        <w:t>、统筹后勤、财务等工作，为学校发展保驾护航。加强规范财</w:t>
      </w:r>
      <w:r>
        <w:rPr>
          <w:spacing w:val="1"/>
          <w:w w:val="95"/>
        </w:rPr>
        <w:t> </w:t>
      </w:r>
      <w:r>
        <w:rPr/>
        <w:t>务管理工作，严格开支的计划性。加强经费管理，认真做到帐目清楚收费合理有据，经得起上级有关部门的审查。严格购物申报审批制度，增加财务工作的透明度。</w:t>
      </w:r>
    </w:p>
    <w:p>
      <w:pPr>
        <w:pStyle w:val="BodyText"/>
        <w:spacing w:line="220" w:lineRule="auto"/>
        <w:ind w:left="116" w:right="436" w:firstLine="640"/>
        <w:jc w:val="both"/>
      </w:pPr>
      <w:r>
        <w:rPr>
          <w:rFonts w:ascii="Times New Roman" w:eastAsia="Times New Roman"/>
          <w:w w:val="95"/>
        </w:rPr>
        <w:t>6</w:t>
      </w:r>
      <w:r>
        <w:rPr>
          <w:w w:val="95"/>
        </w:rPr>
        <w:t>、认真、高效、优质、安全做好学校维修建设工作，参与建设</w:t>
      </w:r>
      <w:r>
        <w:rPr>
          <w:spacing w:val="1"/>
          <w:w w:val="95"/>
        </w:rPr>
        <w:t> </w:t>
      </w:r>
      <w:r>
        <w:rPr/>
        <w:t>过程管理与协调工作，做好学校发展所需相应的设施、设备的采购与安装等工作。</w:t>
      </w:r>
    </w:p>
    <w:p>
      <w:pPr>
        <w:pStyle w:val="BodyText"/>
        <w:spacing w:before="28"/>
        <w:ind w:left="756"/>
        <w:rPr>
          <w:rFonts w:ascii="SimSun" w:eastAsia="SimSun" w:hint="eastAsia"/>
        </w:rPr>
      </w:pPr>
      <w:bookmarkStart w:name="二、部门预算单位构成 " w:id="7"/>
      <w:bookmarkEnd w:id="7"/>
      <w:r>
        <w:rPr/>
      </w:r>
      <w:r>
        <w:rPr>
          <w:rFonts w:ascii="SimSun" w:eastAsia="SimSun" w:hint="eastAsia"/>
          <w:w w:val="95"/>
        </w:rPr>
        <w:t>二、部门预算单位构成</w:t>
      </w:r>
    </w:p>
    <w:p>
      <w:pPr>
        <w:pStyle w:val="BodyText"/>
        <w:spacing w:line="220" w:lineRule="auto" w:before="62"/>
        <w:ind w:left="116" w:right="546" w:firstLine="640"/>
      </w:pPr>
      <w:r>
        <w:rPr>
          <w:w w:val="95"/>
        </w:rPr>
        <w:t>成都市温江区万春学校部门预算包括成都市温江区万春学校本</w:t>
      </w:r>
      <w:r>
        <w:rPr>
          <w:spacing w:val="31"/>
          <w:w w:val="95"/>
        </w:rPr>
        <w:t> </w:t>
      </w:r>
      <w:r>
        <w:rPr/>
        <w:t>级预算。</w:t>
      </w:r>
    </w:p>
    <w:p>
      <w:pPr>
        <w:spacing w:after="0" w:line="220" w:lineRule="auto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2"/>
        </w:rPr>
      </w:pPr>
    </w:p>
    <w:p>
      <w:pPr>
        <w:pStyle w:val="Heading1"/>
        <w:spacing w:line="316" w:lineRule="auto" w:before="57"/>
        <w:ind w:left="2232" w:right="2138" w:hanging="727"/>
      </w:pPr>
      <w:r>
        <w:rPr>
          <w:spacing w:val="-10"/>
        </w:rPr>
        <w:t>第二部分 成都市温江区万春学校</w:t>
      </w:r>
      <w:r>
        <w:rPr/>
        <w:t>2023年部门预算情况说明</w:t>
      </w:r>
    </w:p>
    <w:p>
      <w:pPr>
        <w:spacing w:after="0" w:line="316" w:lineRule="auto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一、2023年财政拨款收支预算情况的总体说明 " w:id="8"/>
      <w:bookmarkEnd w:id="8"/>
      <w:r>
        <w:rPr/>
      </w:r>
      <w:r>
        <w:rPr>
          <w:rFonts w:ascii="SimSun" w:eastAsia="SimSun" w:hint="eastAsia"/>
        </w:rPr>
        <w:t>一、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rFonts w:ascii="SimSun" w:eastAsia="SimSun" w:hint="eastAsia"/>
        </w:rPr>
        <w:t>年财政拨款收支预算情况的总体说明</w:t>
      </w:r>
    </w:p>
    <w:p>
      <w:pPr>
        <w:pStyle w:val="BodyText"/>
        <w:spacing w:line="565" w:lineRule="exact" w:before="28"/>
        <w:ind w:left="756"/>
        <w:jc w:val="both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2"/>
        </w:rPr>
        <w:t>年财政拨款收、支总预算 </w:t>
      </w:r>
      <w:r>
        <w:rPr>
          <w:rFonts w:ascii="Times New Roman" w:eastAsia="Times New Roman"/>
        </w:rPr>
        <w:t>3,481.00</w:t>
      </w:r>
      <w:r>
        <w:rPr>
          <w:rFonts w:ascii="Times New Roman" w:eastAsia="Times New Roman"/>
          <w:spacing w:val="-2"/>
        </w:rPr>
        <w:t> </w:t>
      </w:r>
      <w:r>
        <w:rPr/>
        <w:t>万元。收入包括：一般</w:t>
      </w:r>
    </w:p>
    <w:p>
      <w:pPr>
        <w:pStyle w:val="BodyText"/>
        <w:spacing w:line="220" w:lineRule="auto" w:before="9"/>
        <w:ind w:left="116" w:right="546"/>
        <w:jc w:val="both"/>
      </w:pPr>
      <w:r>
        <w:rPr>
          <w:spacing w:val="-2"/>
        </w:rPr>
        <w:t>公共预算拨款收入 </w:t>
      </w:r>
      <w:r>
        <w:rPr>
          <w:rFonts w:ascii="Times New Roman" w:eastAsia="Times New Roman"/>
        </w:rPr>
        <w:t>3,481.00</w:t>
      </w:r>
      <w:r>
        <w:rPr>
          <w:rFonts w:ascii="Times New Roman" w:eastAsia="Times New Roman"/>
          <w:spacing w:val="-5"/>
        </w:rPr>
        <w:t> </w:t>
      </w:r>
      <w:r>
        <w:rPr>
          <w:spacing w:val="-2"/>
        </w:rPr>
        <w:t>万元；支出包括：教育支出 </w:t>
      </w:r>
      <w:r>
        <w:rPr>
          <w:rFonts w:ascii="Times New Roman" w:eastAsia="Times New Roman"/>
        </w:rPr>
        <w:t>2,824.35</w:t>
      </w:r>
      <w:r>
        <w:rPr>
          <w:rFonts w:ascii="Times New Roman" w:eastAsia="Times New Roman"/>
          <w:spacing w:val="-5"/>
        </w:rPr>
        <w:t> </w:t>
      </w:r>
      <w:r>
        <w:rPr/>
        <w:t>万</w:t>
      </w:r>
      <w:r>
        <w:rPr>
          <w:spacing w:val="-2"/>
        </w:rPr>
        <w:t>元、社会保障和就业支出 </w:t>
      </w:r>
      <w:r>
        <w:rPr>
          <w:rFonts w:ascii="Times New Roman" w:eastAsia="Times New Roman"/>
        </w:rPr>
        <w:t>371.35</w:t>
      </w:r>
      <w:r>
        <w:rPr>
          <w:rFonts w:ascii="Times New Roman" w:eastAsia="Times New Roman"/>
          <w:spacing w:val="-4"/>
        </w:rPr>
        <w:t> </w:t>
      </w:r>
      <w:r>
        <w:rPr>
          <w:spacing w:val="-2"/>
        </w:rPr>
        <w:t>万元、卫生健康支出 </w:t>
      </w:r>
      <w:r>
        <w:rPr>
          <w:rFonts w:ascii="Times New Roman" w:eastAsia="Times New Roman"/>
        </w:rPr>
        <w:t>85.69</w:t>
      </w:r>
      <w:r>
        <w:rPr>
          <w:rFonts w:ascii="Times New Roman" w:eastAsia="Times New Roman"/>
          <w:spacing w:val="-6"/>
        </w:rPr>
        <w:t> </w:t>
      </w:r>
      <w:r>
        <w:rPr/>
        <w:t>万元、</w:t>
      </w:r>
      <w:r>
        <w:rPr>
          <w:spacing w:val="-3"/>
        </w:rPr>
        <w:t>住房保障支出 </w:t>
      </w:r>
      <w:r>
        <w:rPr>
          <w:rFonts w:ascii="Times New Roman" w:eastAsia="Times New Roman"/>
        </w:rPr>
        <w:t>199.60 </w:t>
      </w:r>
      <w:r>
        <w:rPr/>
        <w:t>万元。</w:t>
      </w:r>
    </w:p>
    <w:p>
      <w:pPr>
        <w:spacing w:after="0" w:line="220" w:lineRule="auto"/>
        <w:jc w:val="both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二、2023年一般公共预算当年拨款情况说明 " w:id="9"/>
      <w:bookmarkEnd w:id="9"/>
      <w:r>
        <w:rPr/>
      </w:r>
      <w:r>
        <w:rPr>
          <w:rFonts w:ascii="SimSun" w:eastAsia="SimSun" w:hint="eastAsia"/>
        </w:rPr>
        <w:t>二、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rFonts w:ascii="SimSun" w:eastAsia="SimSun" w:hint="eastAsia"/>
        </w:rPr>
        <w:t>年一般公共预算当年拨款情况说明</w:t>
      </w:r>
    </w:p>
    <w:p>
      <w:pPr>
        <w:pStyle w:val="BodyText"/>
        <w:spacing w:line="565" w:lineRule="exact" w:before="28"/>
        <w:ind w:left="756"/>
      </w:pPr>
      <w:bookmarkStart w:name="（一）一般公共预算当年拨款规模变化情况 " w:id="10"/>
      <w:bookmarkEnd w:id="10"/>
      <w:r>
        <w:rPr/>
      </w:r>
      <w:r>
        <w:rPr>
          <w:w w:val="95"/>
        </w:rPr>
        <w:t>（一）一般公共预算当年拨款规模变化情况</w:t>
      </w:r>
    </w:p>
    <w:p>
      <w:pPr>
        <w:pStyle w:val="BodyText"/>
        <w:spacing w:line="220" w:lineRule="auto" w:before="9"/>
        <w:ind w:left="116" w:right="278" w:firstLine="640"/>
      </w:pPr>
      <w:r>
        <w:rPr>
          <w:spacing w:val="-2"/>
        </w:rPr>
        <w:t>成都市温江区万春学校 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spacing w:val="-2"/>
        </w:rPr>
        <w:t>年一般公共预算当年拨款 </w:t>
      </w:r>
      <w:r>
        <w:rPr>
          <w:rFonts w:ascii="Times New Roman" w:eastAsia="Times New Roman"/>
        </w:rPr>
        <w:t>3,481</w:t>
      </w:r>
      <w:r>
        <w:rPr>
          <w:rFonts w:ascii="Times New Roman" w:eastAsia="Times New Roman"/>
          <w:spacing w:val="-3"/>
        </w:rPr>
        <w:t> </w:t>
      </w:r>
      <w:r>
        <w:rPr/>
        <w:t>万</w:t>
      </w:r>
      <w:r>
        <w:rPr>
          <w:spacing w:val="-44"/>
        </w:rPr>
        <w:t>元，比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4"/>
        </w:rPr>
        <w:t> </w:t>
      </w:r>
      <w:r>
        <w:rPr>
          <w:spacing w:val="-4"/>
        </w:rPr>
        <w:t>年预算数 </w:t>
      </w:r>
      <w:r>
        <w:rPr>
          <w:rFonts w:ascii="Times New Roman" w:eastAsia="Times New Roman"/>
        </w:rPr>
        <w:t>2,363.74</w:t>
      </w:r>
      <w:r>
        <w:rPr>
          <w:rFonts w:ascii="Times New Roman" w:eastAsia="Times New Roman"/>
          <w:spacing w:val="-3"/>
        </w:rPr>
        <w:t> </w:t>
      </w:r>
      <w:r>
        <w:rPr>
          <w:spacing w:val="-4"/>
        </w:rPr>
        <w:t>万元增加 </w:t>
      </w:r>
      <w:r>
        <w:rPr>
          <w:rFonts w:ascii="Times New Roman" w:eastAsia="Times New Roman"/>
        </w:rPr>
        <w:t>1,117.26</w:t>
      </w:r>
      <w:r>
        <w:rPr>
          <w:rFonts w:ascii="Times New Roman" w:eastAsia="Times New Roman"/>
          <w:spacing w:val="-4"/>
        </w:rPr>
        <w:t> </w:t>
      </w:r>
      <w:r>
        <w:rPr>
          <w:spacing w:val="-30"/>
        </w:rPr>
        <w:t>万元，增长 </w:t>
      </w:r>
      <w:r>
        <w:rPr>
          <w:rFonts w:ascii="Times New Roman" w:eastAsia="Times New Roman"/>
        </w:rPr>
        <w:t>47.27%</w:t>
      </w:r>
      <w:r>
        <w:rPr/>
        <w:t>，</w:t>
      </w:r>
      <w:r>
        <w:rPr>
          <w:spacing w:val="-92"/>
        </w:rPr>
        <w:t> </w:t>
      </w:r>
      <w:r>
        <w:rPr/>
        <w:t>变动的主要原因是调整人员支出结构及项目经费变动，以上增减因</w:t>
      </w:r>
      <w:r>
        <w:rPr>
          <w:spacing w:val="-1"/>
        </w:rPr>
        <w:t>素叠加，一般公共预算总体增加 </w:t>
      </w:r>
      <w:r>
        <w:rPr>
          <w:rFonts w:ascii="Times New Roman" w:eastAsia="Times New Roman"/>
        </w:rPr>
        <w:t>1,117.26</w:t>
      </w:r>
      <w:r>
        <w:rPr>
          <w:rFonts w:ascii="Times New Roman" w:eastAsia="Times New Roman"/>
          <w:spacing w:val="-1"/>
        </w:rPr>
        <w:t> </w:t>
      </w:r>
      <w:r>
        <w:rPr/>
        <w:t>万元。</w:t>
      </w:r>
    </w:p>
    <w:p>
      <w:pPr>
        <w:pStyle w:val="BodyText"/>
        <w:spacing w:line="520" w:lineRule="exact"/>
        <w:ind w:left="756"/>
      </w:pPr>
      <w:bookmarkStart w:name="（二）一般公共预算当年拨款结构情况 " w:id="11"/>
      <w:bookmarkEnd w:id="11"/>
      <w:r>
        <w:rPr/>
      </w:r>
      <w:r>
        <w:rPr>
          <w:w w:val="95"/>
        </w:rPr>
        <w:t>（二）一般公共预算当年拨款结构情况</w:t>
      </w:r>
    </w:p>
    <w:p>
      <w:pPr>
        <w:pStyle w:val="BodyText"/>
        <w:spacing w:line="540" w:lineRule="exact"/>
        <w:ind w:left="756"/>
      </w:pPr>
      <w:r>
        <w:rPr>
          <w:spacing w:val="-49"/>
        </w:rPr>
        <w:t>教育</w:t>
      </w:r>
      <w:r>
        <w:rPr>
          <w:spacing w:val="-3"/>
        </w:rPr>
        <w:t>（类</w:t>
      </w:r>
      <w:r>
        <w:rPr>
          <w:spacing w:val="-94"/>
        </w:rPr>
        <w:t>）</w:t>
      </w:r>
      <w:r>
        <w:rPr>
          <w:spacing w:val="-8"/>
        </w:rPr>
        <w:t>支出 </w:t>
      </w:r>
      <w:r>
        <w:rPr>
          <w:rFonts w:ascii="Times New Roman" w:eastAsia="Times New Roman"/>
          <w:spacing w:val="-3"/>
        </w:rPr>
        <w:t>2,824.35</w:t>
      </w:r>
      <w:r>
        <w:rPr>
          <w:rFonts w:ascii="Times New Roman" w:eastAsia="Times New Roman"/>
          <w:spacing w:val="-5"/>
        </w:rPr>
        <w:t> </w:t>
      </w:r>
      <w:r>
        <w:rPr>
          <w:spacing w:val="-26"/>
        </w:rPr>
        <w:t>万元，占 </w:t>
      </w:r>
      <w:r>
        <w:rPr>
          <w:rFonts w:ascii="Times New Roman" w:eastAsia="Times New Roman"/>
          <w:spacing w:val="-3"/>
        </w:rPr>
        <w:t>81.14%</w:t>
      </w:r>
      <w:r>
        <w:rPr>
          <w:spacing w:val="-15"/>
        </w:rPr>
        <w:t>；社会保障和就业</w:t>
      </w:r>
      <w:r>
        <w:rPr>
          <w:spacing w:val="-2"/>
        </w:rPr>
        <w:t>（类）</w:t>
      </w:r>
    </w:p>
    <w:p>
      <w:pPr>
        <w:pStyle w:val="BodyText"/>
        <w:spacing w:line="540" w:lineRule="exact"/>
        <w:ind w:left="116"/>
      </w:pPr>
      <w:r>
        <w:rPr>
          <w:spacing w:val="-6"/>
        </w:rPr>
        <w:t>支出 </w:t>
      </w:r>
      <w:r>
        <w:rPr>
          <w:rFonts w:ascii="Times New Roman" w:eastAsia="Times New Roman"/>
        </w:rPr>
        <w:t>371.36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</w:rPr>
        <w:t>万元，占 </w:t>
      </w:r>
      <w:r>
        <w:rPr>
          <w:rFonts w:ascii="Times New Roman" w:eastAsia="Times New Roman"/>
        </w:rPr>
        <w:t>10.67%</w:t>
      </w:r>
      <w:r>
        <w:rPr/>
        <w:t>；卫生健康（类）</w:t>
      </w:r>
      <w:r>
        <w:rPr>
          <w:spacing w:val="-6"/>
        </w:rPr>
        <w:t>支出 </w:t>
      </w:r>
      <w:r>
        <w:rPr>
          <w:rFonts w:ascii="Times New Roman" w:eastAsia="Times New Roman"/>
        </w:rPr>
        <w:t>85.69</w:t>
      </w:r>
      <w:r>
        <w:rPr>
          <w:rFonts w:ascii="Times New Roman" w:eastAsia="Times New Roman"/>
          <w:spacing w:val="-3"/>
        </w:rPr>
        <w:t> </w:t>
      </w:r>
      <w:r>
        <w:rPr/>
        <w:t>万元，占</w:t>
      </w:r>
    </w:p>
    <w:p>
      <w:pPr>
        <w:pStyle w:val="BodyText"/>
        <w:spacing w:line="540" w:lineRule="exact"/>
        <w:ind w:left="116"/>
      </w:pPr>
      <w:r>
        <w:rPr>
          <w:rFonts w:ascii="Times New Roman" w:eastAsia="Times New Roman"/>
        </w:rPr>
        <w:t>2.46%</w:t>
      </w:r>
      <w:r>
        <w:rPr/>
        <w:t>；住房保障（类）</w:t>
      </w:r>
      <w:r>
        <w:rPr>
          <w:spacing w:val="-6"/>
        </w:rPr>
        <w:t>支出 </w:t>
      </w:r>
      <w:r>
        <w:rPr>
          <w:rFonts w:ascii="Times New Roman" w:eastAsia="Times New Roman"/>
        </w:rPr>
        <w:t>199.6</w:t>
      </w:r>
      <w:r>
        <w:rPr>
          <w:rFonts w:ascii="Times New Roman" w:eastAsia="Times New Roman"/>
          <w:spacing w:val="1"/>
        </w:rPr>
        <w:t> </w:t>
      </w:r>
      <w:r>
        <w:rPr>
          <w:spacing w:val="-4"/>
        </w:rPr>
        <w:t>万元，占 </w:t>
      </w:r>
      <w:r>
        <w:rPr>
          <w:rFonts w:ascii="Times New Roman" w:eastAsia="Times New Roman"/>
        </w:rPr>
        <w:t>5.73%</w:t>
      </w:r>
      <w:r>
        <w:rPr/>
        <w:t>。</w:t>
      </w:r>
    </w:p>
    <w:p>
      <w:pPr>
        <w:pStyle w:val="BodyText"/>
        <w:spacing w:line="540" w:lineRule="exact"/>
        <w:ind w:left="756"/>
      </w:pPr>
      <w:bookmarkStart w:name="（三）一般公共预算当年拨款具体使用情况 " w:id="12"/>
      <w:bookmarkEnd w:id="12"/>
      <w:r>
        <w:rPr/>
      </w:r>
      <w:r>
        <w:rPr>
          <w:w w:val="95"/>
        </w:rPr>
        <w:t>（三）一般公共预算当年拨款具体使用情况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8" w:after="0"/>
        <w:ind w:left="116" w:right="280" w:firstLine="640"/>
        <w:jc w:val="left"/>
        <w:rPr>
          <w:sz w:val="32"/>
        </w:rPr>
      </w:pPr>
      <w:r>
        <w:rPr>
          <w:spacing w:val="-32"/>
          <w:w w:val="95"/>
          <w:sz w:val="32"/>
        </w:rPr>
        <w:t>教育支出</w:t>
      </w:r>
      <w:r>
        <w:rPr>
          <w:w w:val="95"/>
          <w:sz w:val="32"/>
        </w:rPr>
        <w:t>（类</w:t>
      </w:r>
      <w:r>
        <w:rPr>
          <w:spacing w:val="-132"/>
          <w:w w:val="95"/>
          <w:sz w:val="32"/>
        </w:rPr>
        <w:t>）</w:t>
      </w:r>
      <w:r>
        <w:rPr>
          <w:spacing w:val="-32"/>
          <w:w w:val="95"/>
          <w:sz w:val="32"/>
        </w:rPr>
        <w:t>普通教育</w:t>
      </w:r>
      <w:r>
        <w:rPr>
          <w:w w:val="95"/>
          <w:sz w:val="32"/>
        </w:rPr>
        <w:t>（款</w:t>
      </w:r>
      <w:r>
        <w:rPr>
          <w:spacing w:val="-132"/>
          <w:w w:val="95"/>
          <w:sz w:val="32"/>
        </w:rPr>
        <w:t>）</w:t>
      </w:r>
      <w:r>
        <w:rPr>
          <w:spacing w:val="-32"/>
          <w:w w:val="95"/>
          <w:sz w:val="32"/>
        </w:rPr>
        <w:t>小学教育</w:t>
      </w:r>
      <w:r>
        <w:rPr>
          <w:w w:val="95"/>
          <w:sz w:val="32"/>
        </w:rPr>
        <w:t>（项</w:t>
      </w:r>
      <w:r>
        <w:rPr>
          <w:spacing w:val="-130"/>
          <w:w w:val="95"/>
          <w:sz w:val="32"/>
        </w:rPr>
        <w:t>）</w:t>
      </w:r>
      <w:r>
        <w:rPr>
          <w:w w:val="95"/>
          <w:sz w:val="32"/>
        </w:rPr>
        <w:t>预算数为</w:t>
      </w:r>
      <w:r>
        <w:rPr>
          <w:spacing w:val="176"/>
          <w:sz w:val="32"/>
        </w:rPr>
        <w:t> </w:t>
      </w:r>
      <w:r>
        <w:rPr>
          <w:rFonts w:ascii="Times New Roman" w:eastAsia="Times New Roman"/>
          <w:w w:val="95"/>
          <w:sz w:val="32"/>
        </w:rPr>
        <w:t>1,194.35</w:t>
      </w:r>
      <w:r>
        <w:rPr>
          <w:rFonts w:ascii="Times New Roman" w:eastAsia="Times New Roman"/>
          <w:spacing w:val="1"/>
          <w:w w:val="95"/>
          <w:sz w:val="32"/>
        </w:rPr>
        <w:t> </w:t>
      </w:r>
      <w:r>
        <w:rPr>
          <w:spacing w:val="-4"/>
          <w:sz w:val="32"/>
        </w:rPr>
        <w:t>万元，比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pacing w:val="-3"/>
          <w:sz w:val="32"/>
        </w:rPr>
        <w:t>年预算数 </w:t>
      </w:r>
      <w:r>
        <w:rPr>
          <w:rFonts w:ascii="Times New Roman" w:eastAsia="Times New Roman"/>
          <w:sz w:val="32"/>
        </w:rPr>
        <w:t>835.3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3"/>
          <w:sz w:val="32"/>
        </w:rPr>
        <w:t>万元增加 </w:t>
      </w:r>
      <w:r>
        <w:rPr>
          <w:rFonts w:ascii="Times New Roman" w:eastAsia="Times New Roman"/>
          <w:sz w:val="32"/>
        </w:rPr>
        <w:t>359.05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3"/>
          <w:sz w:val="32"/>
        </w:rPr>
        <w:t>万元，增长 </w:t>
      </w:r>
      <w:r>
        <w:rPr>
          <w:rFonts w:ascii="Times New Roman" w:eastAsia="Times New Roman"/>
          <w:sz w:val="32"/>
        </w:rPr>
        <w:t>42.98%</w:t>
      </w:r>
      <w:r>
        <w:rPr>
          <w:sz w:val="32"/>
        </w:rPr>
        <w:t>，</w:t>
      </w:r>
      <w:r>
        <w:rPr>
          <w:spacing w:val="-92"/>
          <w:sz w:val="32"/>
        </w:rPr>
        <w:t> </w:t>
      </w:r>
      <w:r>
        <w:rPr>
          <w:sz w:val="32"/>
        </w:rPr>
        <w:t>变动的主要原因是调整人员支出结构。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0" w:after="0"/>
        <w:ind w:left="116" w:right="436" w:firstLine="640"/>
        <w:jc w:val="both"/>
        <w:rPr>
          <w:sz w:val="32"/>
        </w:rPr>
      </w:pPr>
      <w:r>
        <w:rPr>
          <w:w w:val="95"/>
          <w:sz w:val="32"/>
        </w:rPr>
        <w:t>教育支出（类）教育费附加安排的支出（款）其他教育费附</w:t>
      </w:r>
      <w:r>
        <w:rPr>
          <w:spacing w:val="1"/>
          <w:w w:val="95"/>
          <w:sz w:val="32"/>
        </w:rPr>
        <w:t> </w:t>
      </w:r>
      <w:r>
        <w:rPr>
          <w:sz w:val="32"/>
        </w:rPr>
        <w:t>加安排的支出（项）</w:t>
      </w:r>
      <w:r>
        <w:rPr>
          <w:spacing w:val="-3"/>
          <w:sz w:val="32"/>
        </w:rPr>
        <w:t>预算数为 </w:t>
      </w:r>
      <w:r>
        <w:rPr>
          <w:rFonts w:ascii="Times New Roman" w:eastAsia="Times New Roman"/>
          <w:sz w:val="32"/>
        </w:rPr>
        <w:t>132.01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pacing w:val="-3"/>
          <w:sz w:val="32"/>
        </w:rPr>
        <w:t>万元，比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z w:val="32"/>
        </w:rPr>
        <w:t>年预算数 </w:t>
      </w:r>
      <w:r>
        <w:rPr>
          <w:rFonts w:ascii="Times New Roman" w:eastAsia="Times New Roman"/>
          <w:sz w:val="32"/>
        </w:rPr>
        <w:t>163.5</w:t>
      </w:r>
      <w:r>
        <w:rPr>
          <w:rFonts w:ascii="Times New Roman" w:eastAsia="Times New Roman"/>
          <w:spacing w:val="-77"/>
          <w:sz w:val="32"/>
        </w:rPr>
        <w:t> </w:t>
      </w:r>
      <w:r>
        <w:rPr>
          <w:spacing w:val="-4"/>
          <w:sz w:val="32"/>
        </w:rPr>
        <w:t>万元减少 </w:t>
      </w:r>
      <w:r>
        <w:rPr>
          <w:rFonts w:ascii="Times New Roman" w:eastAsia="Times New Roman"/>
          <w:sz w:val="32"/>
        </w:rPr>
        <w:t>31.49</w:t>
      </w:r>
      <w:r>
        <w:rPr>
          <w:rFonts w:ascii="Times New Roman" w:eastAsia="Times New Roman"/>
          <w:spacing w:val="-4"/>
          <w:sz w:val="32"/>
        </w:rPr>
        <w:t> </w:t>
      </w:r>
      <w:r>
        <w:rPr>
          <w:spacing w:val="-3"/>
          <w:sz w:val="32"/>
        </w:rPr>
        <w:t>万元，下降 </w:t>
      </w:r>
      <w:r>
        <w:rPr>
          <w:rFonts w:ascii="Times New Roman" w:eastAsia="Times New Roman"/>
          <w:sz w:val="32"/>
        </w:rPr>
        <w:t>19.26%</w:t>
      </w:r>
      <w:r>
        <w:rPr>
          <w:sz w:val="32"/>
        </w:rPr>
        <w:t>，变动的主要原因教育技术装备经费减少。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0" w:after="0"/>
        <w:ind w:left="116" w:right="306" w:firstLine="640"/>
        <w:jc w:val="both"/>
        <w:rPr>
          <w:sz w:val="32"/>
        </w:rPr>
      </w:pPr>
      <w:r>
        <w:rPr>
          <w:sz w:val="32"/>
        </w:rPr>
        <w:t>教育支出（类）其他教育支出（款）其他教育支出（项）预</w:t>
      </w:r>
      <w:r>
        <w:rPr>
          <w:spacing w:val="-4"/>
          <w:sz w:val="32"/>
        </w:rPr>
        <w:t>算数为 </w:t>
      </w:r>
      <w:r>
        <w:rPr>
          <w:rFonts w:ascii="Times New Roman" w:eastAsia="Times New Roman"/>
          <w:sz w:val="32"/>
        </w:rPr>
        <w:t>691.72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4"/>
          <w:sz w:val="32"/>
        </w:rPr>
        <w:t>万元，比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pacing w:val="-3"/>
          <w:sz w:val="32"/>
        </w:rPr>
        <w:t>年预算数 </w:t>
      </w:r>
      <w:r>
        <w:rPr>
          <w:rFonts w:ascii="Times New Roman" w:eastAsia="Times New Roman"/>
          <w:sz w:val="32"/>
        </w:rPr>
        <w:t>262.12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pacing w:val="-3"/>
          <w:sz w:val="32"/>
        </w:rPr>
        <w:t>万元增加 </w:t>
      </w:r>
      <w:r>
        <w:rPr>
          <w:rFonts w:ascii="Times New Roman" w:eastAsia="Times New Roman"/>
          <w:sz w:val="32"/>
        </w:rPr>
        <w:t>429.6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z w:val="32"/>
        </w:rPr>
        <w:t>万元，</w:t>
      </w:r>
      <w:r>
        <w:rPr>
          <w:spacing w:val="-92"/>
          <w:sz w:val="32"/>
        </w:rPr>
        <w:t> </w:t>
      </w:r>
      <w:r>
        <w:rPr>
          <w:spacing w:val="-9"/>
          <w:sz w:val="32"/>
        </w:rPr>
        <w:t>增长 </w:t>
      </w:r>
      <w:r>
        <w:rPr>
          <w:rFonts w:ascii="Times New Roman" w:eastAsia="Times New Roman"/>
          <w:spacing w:val="-2"/>
          <w:sz w:val="32"/>
        </w:rPr>
        <w:t>163.89%</w:t>
      </w:r>
      <w:r>
        <w:rPr>
          <w:spacing w:val="-7"/>
          <w:sz w:val="32"/>
        </w:rPr>
        <w:t>，变动的主要原因是编外教职工经费、全区教师队伍建</w:t>
      </w:r>
      <w:r>
        <w:rPr>
          <w:sz w:val="32"/>
        </w:rPr>
        <w:t>设管理费用增加。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520" w:lineRule="exact" w:before="0" w:after="0"/>
        <w:ind w:left="1237" w:right="0" w:hanging="482"/>
        <w:jc w:val="left"/>
        <w:rPr>
          <w:rFonts w:ascii="Times New Roman" w:eastAsia="Times New Roman"/>
          <w:sz w:val="32"/>
        </w:rPr>
      </w:pPr>
      <w:r>
        <w:rPr>
          <w:spacing w:val="-24"/>
          <w:w w:val="95"/>
          <w:sz w:val="32"/>
        </w:rPr>
        <w:t>教育支出</w:t>
      </w:r>
      <w:r>
        <w:rPr>
          <w:w w:val="95"/>
          <w:sz w:val="32"/>
        </w:rPr>
        <w:t>（类</w:t>
      </w:r>
      <w:r>
        <w:rPr>
          <w:spacing w:val="-99"/>
          <w:w w:val="95"/>
          <w:sz w:val="32"/>
        </w:rPr>
        <w:t>）</w:t>
      </w:r>
      <w:r>
        <w:rPr>
          <w:spacing w:val="-24"/>
          <w:w w:val="95"/>
          <w:sz w:val="32"/>
        </w:rPr>
        <w:t>普通教育</w:t>
      </w:r>
      <w:r>
        <w:rPr>
          <w:w w:val="95"/>
          <w:sz w:val="32"/>
        </w:rPr>
        <w:t>（款</w:t>
      </w:r>
      <w:r>
        <w:rPr>
          <w:spacing w:val="-99"/>
          <w:w w:val="95"/>
          <w:sz w:val="32"/>
        </w:rPr>
        <w:t>）</w:t>
      </w:r>
      <w:r>
        <w:rPr>
          <w:spacing w:val="-24"/>
          <w:w w:val="95"/>
          <w:sz w:val="32"/>
        </w:rPr>
        <w:t>初中教育</w:t>
      </w:r>
      <w:r>
        <w:rPr>
          <w:w w:val="95"/>
          <w:sz w:val="32"/>
        </w:rPr>
        <w:t>（项</w:t>
      </w:r>
      <w:r>
        <w:rPr>
          <w:spacing w:val="-96"/>
          <w:w w:val="95"/>
          <w:sz w:val="32"/>
        </w:rPr>
        <w:t>）</w:t>
      </w:r>
      <w:r>
        <w:rPr>
          <w:w w:val="95"/>
          <w:sz w:val="32"/>
        </w:rPr>
        <w:t>预算数为</w:t>
      </w:r>
      <w:r>
        <w:rPr>
          <w:spacing w:val="99"/>
          <w:sz w:val="32"/>
        </w:rPr>
        <w:t>  </w:t>
      </w:r>
      <w:r>
        <w:rPr>
          <w:rFonts w:ascii="Times New Roman" w:eastAsia="Times New Roman"/>
          <w:w w:val="95"/>
          <w:sz w:val="32"/>
        </w:rPr>
        <w:t>792.08</w:t>
      </w:r>
    </w:p>
    <w:p>
      <w:pPr>
        <w:pStyle w:val="BodyText"/>
        <w:spacing w:line="565" w:lineRule="exact"/>
        <w:ind w:left="116"/>
      </w:pPr>
      <w:r>
        <w:rPr>
          <w:spacing w:val="-20"/>
        </w:rPr>
        <w:t>万元，比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</w:rPr>
        <w:t>年预算数 </w:t>
      </w:r>
      <w:r>
        <w:rPr>
          <w:rFonts w:ascii="Times New Roman" w:eastAsia="Times New Roman"/>
        </w:rPr>
        <w:t>557.76</w:t>
      </w:r>
      <w:r>
        <w:rPr>
          <w:rFonts w:ascii="Times New Roman" w:eastAsia="Times New Roman"/>
          <w:spacing w:val="-1"/>
        </w:rPr>
        <w:t> </w:t>
      </w:r>
      <w:r>
        <w:rPr>
          <w:spacing w:val="-4"/>
        </w:rPr>
        <w:t>万元增加 </w:t>
      </w:r>
      <w:r>
        <w:rPr>
          <w:rFonts w:ascii="Times New Roman" w:eastAsia="Times New Roman"/>
        </w:rPr>
        <w:t>234.32</w:t>
      </w:r>
      <w:r>
        <w:rPr>
          <w:rFonts w:ascii="Times New Roman" w:eastAsia="Times New Roman"/>
          <w:spacing w:val="-2"/>
        </w:rPr>
        <w:t> </w:t>
      </w:r>
      <w:r>
        <w:rPr>
          <w:spacing w:val="-16"/>
        </w:rPr>
        <w:t>万元，增长 </w:t>
      </w:r>
      <w:r>
        <w:rPr>
          <w:rFonts w:ascii="Times New Roman" w:eastAsia="Times New Roman"/>
        </w:rPr>
        <w:t>42.01%</w:t>
      </w:r>
      <w:r>
        <w:rPr/>
        <w:t>，</w:t>
      </w:r>
    </w:p>
    <w:p>
      <w:pPr>
        <w:spacing w:after="0" w:line="565" w:lineRule="exact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line="556" w:lineRule="exact"/>
        <w:ind w:left="116"/>
      </w:pPr>
      <w:r>
        <w:rPr/>
        <w:t>变动的主要原因是调整人员支出结构。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540" w:lineRule="exact" w:before="0" w:after="0"/>
        <w:ind w:left="1237" w:right="0" w:hanging="482"/>
        <w:jc w:val="left"/>
        <w:rPr>
          <w:sz w:val="32"/>
        </w:rPr>
      </w:pPr>
      <w:r>
        <w:rPr>
          <w:sz w:val="32"/>
        </w:rPr>
        <w:t>卫生健康支出（类）行政事业单位医疗（款）事业单位医疗</w:t>
      </w:r>
    </w:p>
    <w:p>
      <w:pPr>
        <w:pStyle w:val="BodyText"/>
        <w:spacing w:line="540" w:lineRule="exact"/>
        <w:ind w:left="116"/>
        <w:rPr>
          <w:rFonts w:ascii="Times New Roman" w:eastAsia="Times New Roman"/>
        </w:rPr>
      </w:pPr>
      <w:r>
        <w:rPr/>
        <w:t>（项）</w:t>
      </w:r>
      <w:r>
        <w:rPr>
          <w:spacing w:val="-3"/>
        </w:rPr>
        <w:t>预算数为 </w:t>
      </w:r>
      <w:r>
        <w:rPr>
          <w:rFonts w:ascii="Times New Roman" w:eastAsia="Times New Roman"/>
        </w:rPr>
        <w:t>85.69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</w:rPr>
        <w:t>万元，比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> </w:t>
      </w:r>
      <w:r>
        <w:rPr>
          <w:spacing w:val="-3"/>
        </w:rPr>
        <w:t>年预算数 </w:t>
      </w:r>
      <w:r>
        <w:rPr>
          <w:rFonts w:ascii="Times New Roman" w:eastAsia="Times New Roman"/>
        </w:rPr>
        <w:t>83.52</w:t>
      </w:r>
      <w:r>
        <w:rPr>
          <w:rFonts w:ascii="Times New Roman" w:eastAsia="Times New Roman"/>
          <w:spacing w:val="-4"/>
        </w:rPr>
        <w:t> </w:t>
      </w:r>
      <w:r>
        <w:rPr>
          <w:spacing w:val="-3"/>
        </w:rPr>
        <w:t>万元增加 </w:t>
      </w:r>
      <w:r>
        <w:rPr>
          <w:rFonts w:ascii="Times New Roman" w:eastAsia="Times New Roman"/>
        </w:rPr>
        <w:t>2.17</w:t>
      </w:r>
    </w:p>
    <w:p>
      <w:pPr>
        <w:pStyle w:val="BodyText"/>
        <w:spacing w:line="540" w:lineRule="exact"/>
        <w:ind w:left="116"/>
      </w:pPr>
      <w:r>
        <w:rPr>
          <w:spacing w:val="-3"/>
        </w:rPr>
        <w:t>万元，增长 </w:t>
      </w:r>
      <w:r>
        <w:rPr>
          <w:rFonts w:ascii="Times New Roman" w:eastAsia="Times New Roman"/>
        </w:rPr>
        <w:t>2.6%</w:t>
      </w:r>
      <w:r>
        <w:rPr/>
        <w:t>，变动的主要原因是缴费基数调整。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540" w:lineRule="exact" w:before="0" w:after="0"/>
        <w:ind w:left="1237" w:right="0" w:hanging="482"/>
        <w:jc w:val="left"/>
        <w:rPr>
          <w:sz w:val="32"/>
        </w:rPr>
      </w:pPr>
      <w:r>
        <w:rPr>
          <w:sz w:val="32"/>
        </w:rPr>
        <w:t>教育支出（类）教育管理事务（款）其他教育管理事务支出</w:t>
      </w:r>
    </w:p>
    <w:p>
      <w:pPr>
        <w:pStyle w:val="BodyText"/>
        <w:spacing w:line="220" w:lineRule="auto" w:before="9"/>
        <w:ind w:left="116" w:right="453"/>
      </w:pPr>
      <w:r>
        <w:rPr/>
        <w:t>（项）</w:t>
      </w:r>
      <w:r>
        <w:rPr>
          <w:spacing w:val="-3"/>
        </w:rPr>
        <w:t>预算数为 </w:t>
      </w:r>
      <w:r>
        <w:rPr>
          <w:rFonts w:ascii="Times New Roman" w:eastAsia="Times New Roman"/>
        </w:rPr>
        <w:t>9.04 </w:t>
      </w:r>
      <w:r>
        <w:rPr>
          <w:spacing w:val="-4"/>
        </w:rPr>
        <w:t>万元，比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> </w:t>
      </w:r>
      <w:r>
        <w:rPr>
          <w:spacing w:val="-3"/>
        </w:rPr>
        <w:t>年预算数 </w:t>
      </w:r>
      <w:r>
        <w:rPr>
          <w:rFonts w:ascii="Times New Roman" w:eastAsia="Times New Roman"/>
        </w:rPr>
        <w:t>10.22</w:t>
      </w:r>
      <w:r>
        <w:rPr>
          <w:rFonts w:ascii="Times New Roman" w:eastAsia="Times New Roman"/>
          <w:spacing w:val="-3"/>
        </w:rPr>
        <w:t> </w:t>
      </w:r>
      <w:r>
        <w:rPr/>
        <w:t>万元减少 </w:t>
      </w:r>
      <w:r>
        <w:rPr>
          <w:rFonts w:ascii="Times New Roman" w:eastAsia="Times New Roman"/>
        </w:rPr>
        <w:t>1.18</w:t>
      </w:r>
      <w:r>
        <w:rPr>
          <w:rFonts w:ascii="Times New Roman" w:eastAsia="Times New Roman"/>
          <w:spacing w:val="1"/>
        </w:rPr>
        <w:t> </w:t>
      </w:r>
      <w:r>
        <w:rPr>
          <w:w w:val="95"/>
        </w:rPr>
        <w:t>万元，下降</w:t>
      </w:r>
      <w:r>
        <w:rPr>
          <w:spacing w:val="141"/>
        </w:rPr>
        <w:t> </w:t>
      </w:r>
      <w:r>
        <w:rPr>
          <w:rFonts w:ascii="Times New Roman" w:eastAsia="Times New Roman"/>
          <w:w w:val="95"/>
        </w:rPr>
        <w:t>11.55%</w:t>
      </w:r>
      <w:r>
        <w:rPr>
          <w:w w:val="95"/>
        </w:rPr>
        <w:t>，变动的主要原因是学校艺、体、卫专项活动经</w:t>
      </w:r>
      <w:r>
        <w:rPr/>
        <w:t>费、对口支援经费变动。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0" w:after="0"/>
        <w:ind w:left="116" w:right="436" w:firstLine="640"/>
        <w:jc w:val="both"/>
        <w:rPr>
          <w:sz w:val="32"/>
        </w:rPr>
      </w:pPr>
      <w:r>
        <w:rPr>
          <w:w w:val="95"/>
          <w:sz w:val="32"/>
        </w:rPr>
        <w:t>教育支出（类）特殊教育（款）其他特殊教育支出（项）预</w:t>
      </w:r>
      <w:r>
        <w:rPr>
          <w:spacing w:val="1"/>
          <w:w w:val="95"/>
          <w:sz w:val="32"/>
        </w:rPr>
        <w:t> </w:t>
      </w:r>
      <w:r>
        <w:rPr>
          <w:spacing w:val="-4"/>
          <w:sz w:val="32"/>
        </w:rPr>
        <w:t>算数为 </w:t>
      </w:r>
      <w:r>
        <w:rPr>
          <w:rFonts w:ascii="Times New Roman" w:eastAsia="Times New Roman"/>
          <w:sz w:val="32"/>
        </w:rPr>
        <w:t>5.15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3"/>
          <w:sz w:val="32"/>
        </w:rPr>
        <w:t>万元，与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z w:val="32"/>
        </w:rPr>
        <w:t>年预算持平。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0" w:after="0"/>
        <w:ind w:left="116" w:right="306" w:firstLine="640"/>
        <w:jc w:val="both"/>
        <w:rPr>
          <w:sz w:val="32"/>
        </w:rPr>
      </w:pPr>
      <w:r>
        <w:rPr>
          <w:sz w:val="32"/>
        </w:rPr>
        <w:t>住房保障支出（类）住房改革支出（款）住房公积金（项）</w:t>
      </w:r>
      <w:r>
        <w:rPr>
          <w:spacing w:val="-93"/>
          <w:sz w:val="32"/>
        </w:rPr>
        <w:t> </w:t>
      </w:r>
      <w:r>
        <w:rPr>
          <w:spacing w:val="-3"/>
          <w:sz w:val="32"/>
        </w:rPr>
        <w:t>预算数为 </w:t>
      </w:r>
      <w:r>
        <w:rPr>
          <w:rFonts w:ascii="Times New Roman" w:eastAsia="Times New Roman"/>
          <w:sz w:val="32"/>
        </w:rPr>
        <w:t>199.6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3"/>
          <w:sz w:val="32"/>
        </w:rPr>
        <w:t>万元，比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3"/>
          <w:sz w:val="32"/>
        </w:rPr>
        <w:t>年预算数 </w:t>
      </w:r>
      <w:r>
        <w:rPr>
          <w:rFonts w:ascii="Times New Roman" w:eastAsia="Times New Roman"/>
          <w:sz w:val="32"/>
        </w:rPr>
        <w:t>193.85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4"/>
          <w:sz w:val="32"/>
        </w:rPr>
        <w:t>万元增加 </w:t>
      </w:r>
      <w:r>
        <w:rPr>
          <w:rFonts w:ascii="Times New Roman" w:eastAsia="Times New Roman"/>
          <w:sz w:val="32"/>
        </w:rPr>
        <w:t>5.75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z w:val="32"/>
        </w:rPr>
        <w:t>万元，</w:t>
      </w:r>
      <w:r>
        <w:rPr>
          <w:spacing w:val="-92"/>
          <w:sz w:val="32"/>
        </w:rPr>
        <w:t> </w:t>
      </w:r>
      <w:r>
        <w:rPr>
          <w:spacing w:val="-5"/>
          <w:sz w:val="32"/>
        </w:rPr>
        <w:t>增长 </w:t>
      </w:r>
      <w:r>
        <w:rPr>
          <w:rFonts w:ascii="Times New Roman" w:eastAsia="Times New Roman"/>
          <w:sz w:val="32"/>
        </w:rPr>
        <w:t>2.97%</w:t>
      </w:r>
      <w:r>
        <w:rPr>
          <w:sz w:val="32"/>
        </w:rPr>
        <w:t>，变动的主要原因是缴费基数调整。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220" w:lineRule="auto" w:before="0" w:after="0"/>
        <w:ind w:left="116" w:right="436" w:firstLine="640"/>
        <w:jc w:val="both"/>
        <w:rPr>
          <w:sz w:val="32"/>
        </w:rPr>
      </w:pPr>
      <w:r>
        <w:rPr>
          <w:w w:val="95"/>
          <w:sz w:val="32"/>
        </w:rPr>
        <w:t>社会保障和就业支出（类）行政事业单位养老支出（款）机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关事业单位职业年金缴费支出（项）</w:t>
      </w:r>
      <w:r>
        <w:rPr>
          <w:spacing w:val="4"/>
          <w:w w:val="95"/>
          <w:sz w:val="32"/>
        </w:rPr>
        <w:t>预算数为 </w:t>
      </w:r>
      <w:r>
        <w:rPr>
          <w:rFonts w:ascii="Times New Roman" w:eastAsia="Times New Roman"/>
          <w:w w:val="95"/>
          <w:sz w:val="32"/>
        </w:rPr>
        <w:t>124.13</w:t>
      </w:r>
      <w:r>
        <w:rPr>
          <w:rFonts w:ascii="Times New Roman" w:eastAsia="Times New Roman"/>
          <w:spacing w:val="54"/>
          <w:w w:val="95"/>
          <w:sz w:val="32"/>
        </w:rPr>
        <w:t> </w:t>
      </w:r>
      <w:r>
        <w:rPr>
          <w:spacing w:val="4"/>
          <w:w w:val="95"/>
          <w:sz w:val="32"/>
        </w:rPr>
        <w:t>万元，比 </w:t>
      </w:r>
      <w:r>
        <w:rPr>
          <w:rFonts w:ascii="Times New Roman" w:eastAsia="Times New Roman"/>
          <w:w w:val="95"/>
          <w:sz w:val="32"/>
        </w:rPr>
        <w:t>2022</w:t>
      </w:r>
      <w:r>
        <w:rPr>
          <w:rFonts w:ascii="Times New Roman" w:eastAsia="Times New Roman"/>
          <w:spacing w:val="-74"/>
          <w:w w:val="95"/>
          <w:sz w:val="32"/>
        </w:rPr>
        <w:t> </w:t>
      </w:r>
      <w:r>
        <w:rPr>
          <w:spacing w:val="-6"/>
          <w:sz w:val="32"/>
        </w:rPr>
        <w:t>年预算数 </w:t>
      </w:r>
      <w:r>
        <w:rPr>
          <w:rFonts w:ascii="Times New Roman" w:eastAsia="Times New Roman"/>
          <w:spacing w:val="-2"/>
          <w:sz w:val="32"/>
        </w:rPr>
        <w:t>80.5</w:t>
      </w:r>
      <w:r>
        <w:rPr>
          <w:rFonts w:ascii="Times New Roman" w:eastAsia="Times New Roman"/>
          <w:spacing w:val="-7"/>
          <w:sz w:val="32"/>
        </w:rPr>
        <w:t> </w:t>
      </w:r>
      <w:r>
        <w:rPr>
          <w:spacing w:val="-6"/>
          <w:sz w:val="32"/>
        </w:rPr>
        <w:t>万元增加 </w:t>
      </w:r>
      <w:r>
        <w:rPr>
          <w:rFonts w:ascii="Times New Roman" w:eastAsia="Times New Roman"/>
          <w:spacing w:val="-2"/>
          <w:sz w:val="32"/>
        </w:rPr>
        <w:t>43.63</w:t>
      </w:r>
      <w:r>
        <w:rPr>
          <w:rFonts w:ascii="Times New Roman" w:eastAsia="Times New Roman"/>
          <w:spacing w:val="-5"/>
          <w:sz w:val="32"/>
        </w:rPr>
        <w:t> </w:t>
      </w:r>
      <w:r>
        <w:rPr>
          <w:spacing w:val="-19"/>
          <w:sz w:val="32"/>
        </w:rPr>
        <w:t>万元，增长 </w:t>
      </w:r>
      <w:r>
        <w:rPr>
          <w:rFonts w:ascii="Times New Roman" w:eastAsia="Times New Roman"/>
          <w:spacing w:val="-2"/>
          <w:sz w:val="32"/>
        </w:rPr>
        <w:t>54.2%</w:t>
      </w:r>
      <w:r>
        <w:rPr>
          <w:spacing w:val="-2"/>
          <w:sz w:val="32"/>
        </w:rPr>
        <w:t>，变动的主要原因是</w:t>
      </w:r>
      <w:r>
        <w:rPr>
          <w:sz w:val="32"/>
        </w:rPr>
        <w:t>缴费基数调整。</w:t>
      </w:r>
    </w:p>
    <w:p>
      <w:pPr>
        <w:pStyle w:val="ListParagraph"/>
        <w:numPr>
          <w:ilvl w:val="0"/>
          <w:numId w:val="3"/>
        </w:numPr>
        <w:tabs>
          <w:tab w:pos="1396" w:val="left" w:leader="none"/>
        </w:tabs>
        <w:spacing w:line="220" w:lineRule="auto" w:before="0" w:after="0"/>
        <w:ind w:left="116" w:right="441" w:firstLine="640"/>
        <w:jc w:val="both"/>
        <w:rPr>
          <w:sz w:val="32"/>
        </w:rPr>
      </w:pPr>
      <w:r>
        <w:rPr>
          <w:sz w:val="32"/>
        </w:rPr>
        <w:t>社会保障和就业支出（类）行政事业单位养老支出（款）</w:t>
      </w:r>
      <w:r>
        <w:rPr>
          <w:spacing w:val="1"/>
          <w:sz w:val="32"/>
        </w:rPr>
        <w:t> </w:t>
      </w:r>
      <w:r>
        <w:rPr>
          <w:w w:val="95"/>
          <w:sz w:val="32"/>
        </w:rPr>
        <w:t>机关事业单位基本养老保险缴费支出（项）</w:t>
      </w:r>
      <w:r>
        <w:rPr>
          <w:spacing w:val="17"/>
          <w:w w:val="95"/>
          <w:sz w:val="32"/>
        </w:rPr>
        <w:t>预算数为 </w:t>
      </w:r>
      <w:r>
        <w:rPr>
          <w:rFonts w:ascii="Times New Roman" w:eastAsia="Times New Roman"/>
          <w:w w:val="95"/>
          <w:sz w:val="32"/>
        </w:rPr>
        <w:t>247.23</w:t>
      </w:r>
      <w:r>
        <w:rPr>
          <w:rFonts w:ascii="Times New Roman" w:eastAsia="Times New Roman"/>
          <w:spacing w:val="107"/>
          <w:sz w:val="32"/>
        </w:rPr>
        <w:t> </w:t>
      </w:r>
      <w:r>
        <w:rPr>
          <w:w w:val="95"/>
          <w:sz w:val="32"/>
        </w:rPr>
        <w:t>万元，</w:t>
      </w:r>
      <w:r>
        <w:rPr>
          <w:spacing w:val="1"/>
          <w:w w:val="95"/>
          <w:sz w:val="32"/>
        </w:rPr>
        <w:t> </w:t>
      </w:r>
      <w:r>
        <w:rPr>
          <w:spacing w:val="-8"/>
          <w:sz w:val="32"/>
        </w:rPr>
        <w:t>比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pacing w:val="-3"/>
          <w:sz w:val="32"/>
        </w:rPr>
        <w:t>年预算数 </w:t>
      </w:r>
      <w:r>
        <w:rPr>
          <w:rFonts w:ascii="Times New Roman" w:eastAsia="Times New Roman"/>
          <w:sz w:val="32"/>
        </w:rPr>
        <w:t>171.81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4"/>
          <w:sz w:val="32"/>
        </w:rPr>
        <w:t>万元增加 </w:t>
      </w:r>
      <w:r>
        <w:rPr>
          <w:rFonts w:ascii="Times New Roman" w:eastAsia="Times New Roman"/>
          <w:sz w:val="32"/>
        </w:rPr>
        <w:t>75.42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pacing w:val="-3"/>
          <w:sz w:val="32"/>
        </w:rPr>
        <w:t>万元，增长 </w:t>
      </w:r>
      <w:r>
        <w:rPr>
          <w:rFonts w:ascii="Times New Roman" w:eastAsia="Times New Roman"/>
          <w:sz w:val="32"/>
        </w:rPr>
        <w:t>43.9%</w:t>
      </w:r>
      <w:r>
        <w:rPr>
          <w:sz w:val="32"/>
        </w:rPr>
        <w:t>，变动的主要原因是缴费基数调整。</w:t>
      </w:r>
    </w:p>
    <w:p>
      <w:pPr>
        <w:spacing w:after="0" w:line="220" w:lineRule="auto"/>
        <w:jc w:val="both"/>
        <w:rPr>
          <w:sz w:val="32"/>
        </w:rPr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三、2023年一般公共预算基本支出情况说明 " w:id="13"/>
      <w:bookmarkEnd w:id="13"/>
      <w:r>
        <w:rPr/>
      </w:r>
      <w:r>
        <w:rPr>
          <w:rFonts w:ascii="SimSun" w:eastAsia="SimSun" w:hint="eastAsia"/>
        </w:rPr>
        <w:t>三、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rFonts w:ascii="SimSun" w:eastAsia="SimSun" w:hint="eastAsia"/>
        </w:rPr>
        <w:t>年一般公共预算基本支出情况说明</w:t>
      </w:r>
    </w:p>
    <w:p>
      <w:pPr>
        <w:pStyle w:val="BodyText"/>
        <w:spacing w:line="565" w:lineRule="exact" w:before="28"/>
        <w:ind w:left="756"/>
        <w:rPr>
          <w:rFonts w:ascii="Times New Roman" w:eastAsia="Times New Roman"/>
        </w:rPr>
      </w:pPr>
      <w:r>
        <w:rPr>
          <w:spacing w:val="-2"/>
        </w:rPr>
        <w:t>成都市温江区万春学校 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spacing w:val="-2"/>
        </w:rPr>
        <w:t>年一般公共预算基本支出 </w:t>
      </w:r>
      <w:r>
        <w:rPr>
          <w:rFonts w:ascii="Times New Roman" w:eastAsia="Times New Roman"/>
        </w:rPr>
        <w:t>2,643.23</w:t>
      </w:r>
    </w:p>
    <w:p>
      <w:pPr>
        <w:pStyle w:val="BodyText"/>
        <w:spacing w:line="540" w:lineRule="exact"/>
        <w:ind w:left="116"/>
      </w:pPr>
      <w:r>
        <w:rPr/>
        <w:t>万元，其中：</w:t>
      </w:r>
    </w:p>
    <w:p>
      <w:pPr>
        <w:pStyle w:val="BodyText"/>
        <w:spacing w:line="220" w:lineRule="auto" w:before="9"/>
        <w:ind w:left="116" w:right="547" w:firstLine="640"/>
        <w:jc w:val="both"/>
      </w:pPr>
      <w:r>
        <w:rPr>
          <w:spacing w:val="-5"/>
        </w:rPr>
        <w:t>人员经费 </w:t>
      </w:r>
      <w:r>
        <w:rPr>
          <w:rFonts w:ascii="Times New Roman" w:eastAsia="Times New Roman"/>
        </w:rPr>
        <w:t>2,325.87</w:t>
      </w:r>
      <w:r>
        <w:rPr>
          <w:rFonts w:ascii="Times New Roman" w:eastAsia="Times New Roman"/>
          <w:spacing w:val="-8"/>
        </w:rPr>
        <w:t> </w:t>
      </w:r>
      <w:r>
        <w:rPr/>
        <w:t>万元，主要包括：津贴补贴、绩效工资、其</w:t>
      </w:r>
      <w:r>
        <w:rPr>
          <w:w w:val="95"/>
        </w:rPr>
        <w:t>他社会保障缴费、职工基本医疗保险缴费、住房公积金、职业年金</w:t>
      </w:r>
      <w:r>
        <w:rPr>
          <w:spacing w:val="78"/>
          <w:w w:val="95"/>
        </w:rPr>
        <w:t> </w:t>
      </w:r>
      <w:r>
        <w:rPr>
          <w:w w:val="95"/>
        </w:rPr>
        <w:t>缴费、基本工资、机关事业单位基本养老保险缴费、奖励金、生活</w:t>
      </w:r>
      <w:r>
        <w:rPr>
          <w:spacing w:val="62"/>
          <w:w w:val="95"/>
        </w:rPr>
        <w:t> </w:t>
      </w:r>
      <w:r>
        <w:rPr/>
        <w:t>补助。</w:t>
      </w:r>
    </w:p>
    <w:p>
      <w:pPr>
        <w:pStyle w:val="BodyText"/>
        <w:spacing w:line="220" w:lineRule="auto"/>
        <w:ind w:left="116" w:right="278" w:firstLine="640"/>
      </w:pPr>
      <w:r>
        <w:rPr>
          <w:spacing w:val="-3"/>
        </w:rPr>
        <w:t>办公经费 </w:t>
      </w:r>
      <w:r>
        <w:rPr>
          <w:rFonts w:ascii="Times New Roman" w:eastAsia="Times New Roman"/>
        </w:rPr>
        <w:t>317.36</w:t>
      </w:r>
      <w:r>
        <w:rPr>
          <w:rFonts w:ascii="Times New Roman" w:eastAsia="Times New Roman"/>
          <w:spacing w:val="-1"/>
        </w:rPr>
        <w:t> </w:t>
      </w:r>
      <w:r>
        <w:rPr/>
        <w:t>万元，主要包括：培训费、印刷费、办公费、专用材料费、维修（护）费、邮电费、物业管理费、福利费、其他</w:t>
      </w:r>
      <w:r>
        <w:rPr>
          <w:w w:val="95"/>
        </w:rPr>
        <w:t>商品和服务支出、工会经费、电费、其他交通费用、差旅费、水费、</w:t>
      </w:r>
      <w:r>
        <w:rPr>
          <w:spacing w:val="27"/>
          <w:w w:val="95"/>
        </w:rPr>
        <w:t> </w:t>
      </w:r>
      <w:r>
        <w:rPr/>
        <w:t>会议费。</w:t>
      </w:r>
    </w:p>
    <w:p>
      <w:pPr>
        <w:spacing w:after="0" w:line="220" w:lineRule="auto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before="93"/>
        <w:ind w:left="756"/>
        <w:rPr>
          <w:rFonts w:ascii="SimSun" w:hAnsi="SimSun" w:eastAsia="SimSun" w:hint="eastAsia"/>
        </w:rPr>
      </w:pPr>
      <w:bookmarkStart w:name="四、财政拨款安排“三公”经费预算情况说明 " w:id="14"/>
      <w:bookmarkEnd w:id="14"/>
      <w:r>
        <w:rPr/>
      </w:r>
      <w:r>
        <w:rPr>
          <w:rFonts w:ascii="SimSun" w:hAnsi="SimSun" w:eastAsia="SimSun" w:hint="eastAsia"/>
          <w:w w:val="95"/>
        </w:rPr>
        <w:t>四、财政拨款安排“三公”经费预算情况说明</w:t>
      </w:r>
    </w:p>
    <w:p>
      <w:pPr>
        <w:pStyle w:val="BodyText"/>
        <w:spacing w:line="565" w:lineRule="exact" w:before="28"/>
        <w:ind w:left="756"/>
      </w:pPr>
      <w:bookmarkStart w:name="（一）因公出国（境）经费 " w:id="15"/>
      <w:bookmarkEnd w:id="15"/>
      <w:r>
        <w:rPr/>
      </w:r>
      <w:r>
        <w:rPr>
          <w:w w:val="95"/>
        </w:rPr>
        <w:t>（一）因公出国（境）经费</w:t>
      </w:r>
    </w:p>
    <w:p>
      <w:pPr>
        <w:pStyle w:val="BodyText"/>
        <w:spacing w:line="220" w:lineRule="auto" w:before="9"/>
        <w:ind w:left="116" w:right="546" w:firstLine="640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</w:rPr>
        <w:t>年预算安排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</w:t>
      </w:r>
      <w:r>
        <w:rPr>
          <w:rFonts w:ascii="Times New Roman" w:eastAsia="Times New Roman"/>
        </w:rPr>
        <w:t>,</w:t>
      </w:r>
      <w:r>
        <w:rPr>
          <w:spacing w:val="-8"/>
        </w:rPr>
        <w:t>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> </w:t>
      </w:r>
      <w:r>
        <w:rPr>
          <w:spacing w:val="-4"/>
        </w:rPr>
        <w:t>年预算数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3"/>
        </w:rPr>
        <w:t>万元增加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万元，</w:t>
      </w:r>
      <w:r>
        <w:rPr>
          <w:spacing w:val="-92"/>
        </w:rPr>
        <w:t> </w:t>
      </w:r>
      <w:r>
        <w:rPr>
          <w:spacing w:val="-8"/>
        </w:rPr>
        <w:t>与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1"/>
        </w:rPr>
        <w:t> </w:t>
      </w:r>
      <w:r>
        <w:rPr/>
        <w:t>年预算持平。</w:t>
      </w:r>
    </w:p>
    <w:p>
      <w:pPr>
        <w:pStyle w:val="BodyText"/>
        <w:spacing w:line="526" w:lineRule="exact"/>
        <w:ind w:left="756"/>
      </w:pPr>
      <w:bookmarkStart w:name="（二）公务接待费 " w:id="16"/>
      <w:bookmarkEnd w:id="16"/>
      <w:r>
        <w:rPr/>
      </w:r>
      <w:r>
        <w:rPr>
          <w:w w:val="95"/>
        </w:rPr>
        <w:t>（二）公务接待费</w:t>
      </w:r>
    </w:p>
    <w:p>
      <w:pPr>
        <w:pStyle w:val="BodyText"/>
        <w:spacing w:line="220" w:lineRule="auto" w:before="8"/>
        <w:ind w:left="116" w:right="546" w:firstLine="640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3"/>
        </w:rPr>
        <w:t>年预算安排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</w:t>
      </w:r>
      <w:r>
        <w:rPr>
          <w:rFonts w:ascii="Times New Roman" w:eastAsia="Times New Roman"/>
        </w:rPr>
        <w:t>,</w:t>
      </w:r>
      <w:r>
        <w:rPr>
          <w:spacing w:val="-8"/>
        </w:rPr>
        <w:t>比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> </w:t>
      </w:r>
      <w:r>
        <w:rPr>
          <w:spacing w:val="-4"/>
        </w:rPr>
        <w:t>年预算数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3"/>
        </w:rPr>
        <w:t>万元增加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万元，</w:t>
      </w:r>
      <w:r>
        <w:rPr>
          <w:spacing w:val="-92"/>
        </w:rPr>
        <w:t> </w:t>
      </w:r>
      <w:r>
        <w:rPr>
          <w:spacing w:val="-8"/>
        </w:rPr>
        <w:t>与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1"/>
        </w:rPr>
        <w:t> </w:t>
      </w:r>
      <w:r>
        <w:rPr/>
        <w:t>年预算持平。</w:t>
      </w:r>
    </w:p>
    <w:p>
      <w:pPr>
        <w:pStyle w:val="BodyText"/>
        <w:spacing w:line="526" w:lineRule="exact"/>
        <w:ind w:left="756"/>
      </w:pPr>
      <w:bookmarkStart w:name="（三）公务用车购置及运行维护费 " w:id="17"/>
      <w:bookmarkEnd w:id="17"/>
      <w:r>
        <w:rPr/>
      </w:r>
      <w:r>
        <w:rPr>
          <w:w w:val="95"/>
        </w:rPr>
        <w:t>（三）公务用车购置及运行维护费</w:t>
      </w:r>
    </w:p>
    <w:p>
      <w:pPr>
        <w:pStyle w:val="BodyText"/>
        <w:spacing w:line="540" w:lineRule="exact"/>
        <w:ind w:left="756"/>
        <w:rPr>
          <w:rFonts w:ascii="Times New Roman" w:eastAsia="Times New Roman"/>
        </w:rPr>
      </w:pPr>
      <w:r>
        <w:rPr>
          <w:w w:val="95"/>
        </w:rPr>
        <w:t>成都市温江区万春学校核定车编</w:t>
      </w:r>
      <w:r>
        <w:rPr>
          <w:spacing w:val="130"/>
        </w:rPr>
        <w:t> </w:t>
      </w:r>
      <w:r>
        <w:rPr>
          <w:rFonts w:ascii="Times New Roman" w:eastAsia="Times New Roman"/>
          <w:w w:val="95"/>
        </w:rPr>
        <w:t>0</w:t>
      </w:r>
      <w:r>
        <w:rPr>
          <w:rFonts w:ascii="Times New Roman" w:eastAsia="Times New Roman"/>
          <w:spacing w:val="142"/>
        </w:rPr>
        <w:t> </w:t>
      </w:r>
      <w:r>
        <w:rPr>
          <w:spacing w:val="-13"/>
          <w:w w:val="95"/>
        </w:rPr>
        <w:t>辆，目前实际车辆保有量为</w:t>
      </w:r>
      <w:r>
        <w:rPr>
          <w:spacing w:val="122"/>
        </w:rPr>
        <w:t> </w:t>
      </w:r>
      <w:r>
        <w:rPr>
          <w:rFonts w:ascii="Times New Roman" w:eastAsia="Times New Roman"/>
          <w:w w:val="95"/>
        </w:rPr>
        <w:t>0</w:t>
      </w:r>
    </w:p>
    <w:p>
      <w:pPr>
        <w:pStyle w:val="BodyText"/>
        <w:spacing w:line="540" w:lineRule="exact"/>
        <w:ind w:left="116"/>
      </w:pPr>
      <w:r>
        <w:rPr>
          <w:spacing w:val="-1"/>
        </w:rPr>
        <w:t>辆，其中财政资金安排支出的公务车辆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/>
        <w:t>辆。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/>
        <w:t>年预算安排使用</w:t>
      </w:r>
    </w:p>
    <w:p>
      <w:pPr>
        <w:pStyle w:val="BodyText"/>
        <w:spacing w:line="540" w:lineRule="exact"/>
        <w:ind w:left="116"/>
      </w:pPr>
      <w:r>
        <w:rPr>
          <w:spacing w:val="-3"/>
        </w:rPr>
        <w:t>财政资金支付公务用车购置及运行维护费 </w:t>
      </w:r>
      <w:r>
        <w:rPr>
          <w:rFonts w:ascii="Times New Roman" w:eastAsia="Times New Roman"/>
          <w:spacing w:val="-1"/>
        </w:rPr>
        <w:t>0</w:t>
      </w:r>
      <w:r>
        <w:rPr>
          <w:rFonts w:ascii="Times New Roman" w:eastAsia="Times New Roman"/>
          <w:spacing w:val="-9"/>
        </w:rPr>
        <w:t> </w:t>
      </w:r>
      <w:r>
        <w:rPr>
          <w:spacing w:val="-5"/>
        </w:rPr>
        <w:t>万元，较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9"/>
        </w:rPr>
        <w:t> </w:t>
      </w:r>
      <w:r>
        <w:rPr/>
        <w:t>年预算数</w:t>
      </w:r>
    </w:p>
    <w:p>
      <w:pPr>
        <w:pStyle w:val="BodyText"/>
        <w:spacing w:line="540" w:lineRule="exact"/>
        <w:ind w:left="116"/>
      </w:pP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3"/>
        </w:rPr>
        <w:t>万元增加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3"/>
        </w:rPr>
        <w:t>万元，与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2"/>
        </w:rPr>
        <w:t> </w:t>
      </w:r>
      <w:r>
        <w:rPr/>
        <w:t>年预算持平。</w:t>
      </w:r>
    </w:p>
    <w:p>
      <w:pPr>
        <w:pStyle w:val="BodyText"/>
        <w:spacing w:line="220" w:lineRule="auto" w:before="9"/>
        <w:ind w:left="116" w:right="278" w:firstLine="640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5"/>
        </w:rPr>
        <w:t> </w:t>
      </w:r>
      <w:r>
        <w:rPr>
          <w:spacing w:val="-2"/>
        </w:rPr>
        <w:t>年安排使用财政资金购置公务用车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4"/>
        </w:rPr>
        <w:t> </w:t>
      </w:r>
      <w:r>
        <w:rPr>
          <w:spacing w:val="-22"/>
        </w:rPr>
        <w:t>辆，经费预算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> </w:t>
      </w:r>
      <w:r>
        <w:rPr/>
        <w:t>万元。</w:t>
      </w:r>
      <w:r>
        <w:rPr>
          <w:spacing w:val="-2"/>
        </w:rPr>
        <w:t>其中：购置一般公务用车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1"/>
        </w:rPr>
        <w:t> </w:t>
      </w:r>
      <w:r>
        <w:rPr>
          <w:spacing w:val="-2"/>
        </w:rPr>
        <w:t>辆，购置一般执法执勤用车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辆，特种专业技术用车（生产用车）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辆。</w:t>
      </w:r>
    </w:p>
    <w:p>
      <w:pPr>
        <w:pStyle w:val="BodyText"/>
        <w:spacing w:line="548" w:lineRule="exact"/>
        <w:ind w:left="756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spacing w:val="-2"/>
        </w:rPr>
        <w:t>年安排公务用车运行维护费 </w:t>
      </w:r>
      <w:r>
        <w:rPr>
          <w:rFonts w:ascii="Times New Roman" w:eastAsia="Times New Roman"/>
        </w:rPr>
        <w:t>0 </w:t>
      </w:r>
      <w:r>
        <w:rPr/>
        <w:t>万元。</w:t>
      </w:r>
    </w:p>
    <w:p>
      <w:pPr>
        <w:spacing w:after="0" w:line="548" w:lineRule="exact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五、2023年政府性基金预算收支及变化情况的说明 " w:id="18"/>
      <w:bookmarkEnd w:id="18"/>
      <w:r>
        <w:rPr/>
      </w:r>
      <w:r>
        <w:rPr>
          <w:rFonts w:ascii="SimSun" w:eastAsia="SimSun" w:hint="eastAsia"/>
          <w:w w:val="95"/>
        </w:rPr>
        <w:t>五、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134"/>
        </w:rPr>
        <w:t>  </w:t>
      </w:r>
      <w:r>
        <w:rPr>
          <w:rFonts w:ascii="SimSun" w:eastAsia="SimSun" w:hint="eastAsia"/>
          <w:w w:val="95"/>
        </w:rPr>
        <w:t>年政府性基金预算收支及变化情况的说明</w:t>
      </w:r>
    </w:p>
    <w:p>
      <w:pPr>
        <w:pStyle w:val="BodyText"/>
        <w:spacing w:line="220" w:lineRule="auto" w:before="61"/>
        <w:ind w:left="116" w:right="436" w:firstLine="640"/>
      </w:pPr>
      <w:r>
        <w:rPr>
          <w:spacing w:val="5"/>
          <w:w w:val="95"/>
        </w:rPr>
        <w:t>成都市温江区万春学校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113"/>
        </w:rPr>
        <w:t> </w:t>
      </w:r>
      <w:r>
        <w:rPr>
          <w:w w:val="95"/>
        </w:rPr>
        <w:t>年没有使用政府性基金预算拨款安</w:t>
      </w:r>
      <w:r>
        <w:rPr/>
        <w:t>排的支出。</w:t>
      </w:r>
    </w:p>
    <w:p>
      <w:pPr>
        <w:spacing w:after="0" w:line="220" w:lineRule="auto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六、2023年国有资本经营预算收支及变化情况的说明 " w:id="19"/>
      <w:bookmarkEnd w:id="19"/>
      <w:r>
        <w:rPr/>
      </w:r>
      <w:r>
        <w:rPr>
          <w:rFonts w:ascii="SimSun" w:eastAsia="SimSun" w:hint="eastAsia"/>
          <w:w w:val="95"/>
        </w:rPr>
        <w:t>六、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142"/>
        </w:rPr>
        <w:t>  </w:t>
      </w:r>
      <w:r>
        <w:rPr>
          <w:rFonts w:ascii="SimSun" w:eastAsia="SimSun" w:hint="eastAsia"/>
          <w:w w:val="95"/>
        </w:rPr>
        <w:t>年国有资本经营预算收支及变化情况的说明</w:t>
      </w:r>
    </w:p>
    <w:p>
      <w:pPr>
        <w:pStyle w:val="BodyText"/>
        <w:spacing w:before="28"/>
        <w:ind w:left="756"/>
      </w:pP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142"/>
        </w:rPr>
        <w:t>  </w:t>
      </w:r>
      <w:r>
        <w:rPr>
          <w:w w:val="95"/>
        </w:rPr>
        <w:t>年没有使用国有资本经营预算拨款安排的支出。</w:t>
      </w:r>
    </w:p>
    <w:p>
      <w:pPr>
        <w:spacing w:after="0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七、2023年预算收支及变化情况的总体说明 " w:id="20"/>
      <w:bookmarkEnd w:id="20"/>
      <w:r>
        <w:rPr/>
      </w:r>
      <w:r>
        <w:rPr>
          <w:rFonts w:ascii="SimSun" w:eastAsia="SimSun" w:hint="eastAsia"/>
        </w:rPr>
        <w:t>七、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rFonts w:ascii="SimSun" w:eastAsia="SimSun" w:hint="eastAsia"/>
        </w:rPr>
        <w:t>年预算收支及变化情况的总体说明</w:t>
      </w:r>
    </w:p>
    <w:p>
      <w:pPr>
        <w:pStyle w:val="BodyText"/>
        <w:spacing w:line="220" w:lineRule="auto" w:before="61"/>
        <w:ind w:left="116" w:right="546" w:firstLine="640"/>
        <w:jc w:val="both"/>
      </w:pPr>
      <w:r>
        <w:rPr>
          <w:w w:val="95"/>
        </w:rPr>
        <w:t>按照综合预算的原则，成都市温江区万春学校所有收入和支出</w:t>
      </w:r>
      <w:r>
        <w:rPr>
          <w:spacing w:val="47"/>
          <w:w w:val="95"/>
        </w:rPr>
        <w:t> </w:t>
      </w:r>
      <w:r>
        <w:rPr>
          <w:w w:val="95"/>
        </w:rPr>
        <w:t>均纳入部门预算管理。收入包括：一般公共预算拨款收入；支出包</w:t>
      </w:r>
      <w:r>
        <w:rPr>
          <w:spacing w:val="79"/>
          <w:w w:val="95"/>
        </w:rPr>
        <w:t> </w:t>
      </w:r>
      <w:r>
        <w:rPr>
          <w:w w:val="95"/>
        </w:rPr>
        <w:t>括：教育支出、社会保障和就业支出、卫生健康支出、住房保障支</w:t>
      </w:r>
      <w:r>
        <w:rPr>
          <w:spacing w:val="63"/>
          <w:w w:val="95"/>
        </w:rPr>
        <w:t> </w:t>
      </w:r>
      <w:r>
        <w:rPr/>
        <w:t>出。</w:t>
      </w:r>
    </w:p>
    <w:p>
      <w:pPr>
        <w:pStyle w:val="BodyText"/>
        <w:spacing w:line="521" w:lineRule="exact"/>
        <w:ind w:left="756"/>
      </w:pPr>
      <w:r>
        <w:rPr>
          <w:spacing w:val="-2"/>
        </w:rPr>
        <w:t>成都市温江区万春学校 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spacing w:val="-3"/>
        </w:rPr>
        <w:t>年收、支总预算 </w:t>
      </w:r>
      <w:r>
        <w:rPr>
          <w:rFonts w:ascii="Times New Roman" w:eastAsia="Times New Roman"/>
        </w:rPr>
        <w:t>3,481.00</w:t>
      </w:r>
      <w:r>
        <w:rPr>
          <w:rFonts w:ascii="Times New Roman" w:eastAsia="Times New Roman"/>
          <w:spacing w:val="-1"/>
        </w:rPr>
        <w:t> </w:t>
      </w:r>
      <w:r>
        <w:rPr/>
        <w:t>万元</w:t>
      </w:r>
      <w:r>
        <w:rPr>
          <w:rFonts w:ascii="Times New Roman" w:eastAsia="Times New Roman"/>
        </w:rPr>
        <w:t>,</w:t>
      </w:r>
      <w:r>
        <w:rPr/>
        <w:t>比</w:t>
      </w:r>
    </w:p>
    <w:p>
      <w:pPr>
        <w:pStyle w:val="BodyText"/>
        <w:spacing w:line="540" w:lineRule="exact"/>
        <w:ind w:left="116"/>
      </w:pPr>
      <w:r>
        <w:rPr>
          <w:rFonts w:ascii="Times New Roman" w:eastAsia="Times New Roman"/>
          <w:spacing w:val="-1"/>
        </w:rPr>
        <w:t>2022</w:t>
      </w:r>
      <w:r>
        <w:rPr>
          <w:rFonts w:ascii="Times New Roman" w:eastAsia="Times New Roman"/>
          <w:spacing w:val="-10"/>
        </w:rPr>
        <w:t> </w:t>
      </w:r>
      <w:r>
        <w:rPr>
          <w:spacing w:val="-6"/>
        </w:rPr>
        <w:t>年预算数 </w:t>
      </w:r>
      <w:r>
        <w:rPr>
          <w:rFonts w:ascii="Times New Roman" w:eastAsia="Times New Roman"/>
          <w:spacing w:val="-1"/>
        </w:rPr>
        <w:t>2,363.74</w:t>
      </w:r>
      <w:r>
        <w:rPr>
          <w:rFonts w:ascii="Times New Roman" w:eastAsia="Times New Roman"/>
          <w:spacing w:val="-8"/>
        </w:rPr>
        <w:t> </w:t>
      </w:r>
      <w:r>
        <w:rPr>
          <w:spacing w:val="-6"/>
        </w:rPr>
        <w:t>万元增加 </w:t>
      </w:r>
      <w:r>
        <w:rPr>
          <w:rFonts w:ascii="Times New Roman" w:eastAsia="Times New Roman"/>
          <w:spacing w:val="-1"/>
        </w:rPr>
        <w:t>1,117.26</w:t>
      </w:r>
      <w:r>
        <w:rPr>
          <w:rFonts w:ascii="Times New Roman" w:eastAsia="Times New Roman"/>
          <w:spacing w:val="-7"/>
        </w:rPr>
        <w:t> </w:t>
      </w:r>
      <w:r>
        <w:rPr>
          <w:spacing w:val="-4"/>
        </w:rPr>
        <w:t>万元，增长 </w:t>
      </w:r>
      <w:r>
        <w:rPr>
          <w:rFonts w:ascii="Times New Roman" w:eastAsia="Times New Roman"/>
        </w:rPr>
        <w:t>47.27%</w:t>
      </w:r>
      <w:r>
        <w:rPr/>
        <w:t>，变动</w:t>
      </w:r>
    </w:p>
    <w:p>
      <w:pPr>
        <w:pStyle w:val="BodyText"/>
        <w:spacing w:line="565" w:lineRule="exact"/>
        <w:ind w:left="116"/>
      </w:pPr>
      <w:r>
        <w:rPr>
          <w:spacing w:val="-1"/>
        </w:rPr>
        <w:t>的主要原因是一般公共预算拨款收入较上年增加 </w:t>
      </w:r>
      <w:r>
        <w:rPr>
          <w:rFonts w:ascii="Times New Roman" w:eastAsia="Times New Roman"/>
        </w:rPr>
        <w:t>1,117.26</w:t>
      </w:r>
      <w:r>
        <w:rPr>
          <w:rFonts w:ascii="Times New Roman" w:eastAsia="Times New Roman"/>
          <w:spacing w:val="-4"/>
        </w:rPr>
        <w:t> </w:t>
      </w:r>
      <w:r>
        <w:rPr/>
        <w:t>万元。</w:t>
      </w:r>
    </w:p>
    <w:p>
      <w:pPr>
        <w:spacing w:after="0" w:line="565" w:lineRule="exact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八、2023年收入预算情况说明 " w:id="21"/>
      <w:bookmarkEnd w:id="21"/>
      <w:r>
        <w:rPr/>
      </w:r>
      <w:r>
        <w:rPr>
          <w:rFonts w:ascii="SimSun" w:eastAsia="SimSun" w:hint="eastAsia"/>
        </w:rPr>
        <w:t>八、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rFonts w:ascii="SimSun" w:eastAsia="SimSun" w:hint="eastAsia"/>
        </w:rPr>
        <w:t>年收入预算情况说明</w:t>
      </w:r>
    </w:p>
    <w:p>
      <w:pPr>
        <w:pStyle w:val="BodyText"/>
        <w:spacing w:line="220" w:lineRule="auto" w:before="61"/>
        <w:ind w:left="116" w:right="388" w:firstLine="640"/>
      </w:pPr>
      <w:r>
        <w:rPr>
          <w:spacing w:val="-2"/>
        </w:rPr>
        <w:t>成都市温江区万春学校 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6"/>
        </w:rPr>
        <w:t> </w:t>
      </w:r>
      <w:r>
        <w:rPr>
          <w:spacing w:val="-3"/>
        </w:rPr>
        <w:t>年收入预算 </w:t>
      </w:r>
      <w:r>
        <w:rPr>
          <w:rFonts w:ascii="Times New Roman" w:eastAsia="Times New Roman"/>
        </w:rPr>
        <w:t>3,481.00</w:t>
      </w:r>
      <w:r>
        <w:rPr>
          <w:rFonts w:ascii="Times New Roman" w:eastAsia="Times New Roman"/>
          <w:spacing w:val="-5"/>
        </w:rPr>
        <w:t> </w:t>
      </w:r>
      <w:r>
        <w:rPr/>
        <w:t>万元，其中：</w:t>
      </w:r>
      <w:r>
        <w:rPr>
          <w:spacing w:val="-92"/>
        </w:rPr>
        <w:t> </w:t>
      </w:r>
      <w:r>
        <w:rPr>
          <w:spacing w:val="-2"/>
        </w:rPr>
        <w:t>一般公共预算拨款收入 </w:t>
      </w:r>
      <w:r>
        <w:rPr>
          <w:rFonts w:ascii="Times New Roman" w:eastAsia="Times New Roman"/>
        </w:rPr>
        <w:t>3,481.00 </w:t>
      </w:r>
      <w:r>
        <w:rPr>
          <w:spacing w:val="-3"/>
        </w:rPr>
        <w:t>万元，占 </w:t>
      </w:r>
      <w:r>
        <w:rPr>
          <w:rFonts w:ascii="Times New Roman" w:eastAsia="Times New Roman"/>
        </w:rPr>
        <w:t>100.00%</w:t>
      </w:r>
      <w:r>
        <w:rPr/>
        <w:t>。</w:t>
      </w:r>
    </w:p>
    <w:p>
      <w:pPr>
        <w:spacing w:after="0" w:line="220" w:lineRule="auto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九、2023年支出预算情况说明 " w:id="22"/>
      <w:bookmarkEnd w:id="22"/>
      <w:r>
        <w:rPr/>
      </w:r>
      <w:r>
        <w:rPr>
          <w:rFonts w:ascii="SimSun" w:eastAsia="SimSun" w:hint="eastAsia"/>
        </w:rPr>
        <w:t>九、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>
          <w:rFonts w:ascii="SimSun" w:eastAsia="SimSun" w:hint="eastAsia"/>
        </w:rPr>
        <w:t>年支出预算情况说明</w:t>
      </w:r>
    </w:p>
    <w:p>
      <w:pPr>
        <w:pStyle w:val="BodyText"/>
        <w:spacing w:line="565" w:lineRule="exact" w:before="28"/>
        <w:ind w:right="466"/>
        <w:jc w:val="right"/>
        <w:rPr>
          <w:rFonts w:ascii="Times New Roman" w:eastAsia="Times New Roman"/>
        </w:rPr>
      </w:pPr>
      <w:r>
        <w:rPr>
          <w:spacing w:val="-2"/>
        </w:rPr>
        <w:t>成都市温江区万春学校 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2"/>
        </w:rPr>
        <w:t>年部门预算本年支出总计 </w:t>
      </w:r>
      <w:r>
        <w:rPr>
          <w:rFonts w:ascii="Times New Roman" w:eastAsia="Times New Roman"/>
        </w:rPr>
        <w:t>3,481.00</w:t>
      </w:r>
    </w:p>
    <w:p>
      <w:pPr>
        <w:pStyle w:val="BodyText"/>
        <w:spacing w:line="540" w:lineRule="exact"/>
        <w:ind w:right="441"/>
        <w:jc w:val="right"/>
      </w:pPr>
      <w:r>
        <w:rPr>
          <w:w w:val="95"/>
        </w:rPr>
        <w:t>万元，其中：基本支出预算</w:t>
      </w:r>
      <w:r>
        <w:rPr>
          <w:spacing w:val="137"/>
        </w:rPr>
        <w:t> </w:t>
      </w:r>
      <w:r>
        <w:rPr>
          <w:rFonts w:ascii="Times New Roman" w:eastAsia="Times New Roman"/>
          <w:w w:val="95"/>
        </w:rPr>
        <w:t>2,643.23</w:t>
      </w:r>
      <w:r>
        <w:rPr>
          <w:rFonts w:ascii="Times New Roman" w:eastAsia="Times New Roman"/>
          <w:spacing w:val="151"/>
        </w:rPr>
        <w:t> </w:t>
      </w:r>
      <w:r>
        <w:rPr>
          <w:w w:val="95"/>
        </w:rPr>
        <w:t>万元，占</w:t>
      </w:r>
      <w:r>
        <w:rPr>
          <w:spacing w:val="132"/>
        </w:rPr>
        <w:t> </w:t>
      </w:r>
      <w:r>
        <w:rPr>
          <w:rFonts w:ascii="Times New Roman" w:eastAsia="Times New Roman"/>
          <w:w w:val="95"/>
        </w:rPr>
        <w:t>75.93%</w:t>
      </w:r>
      <w:r>
        <w:rPr>
          <w:w w:val="95"/>
        </w:rPr>
        <w:t>；部门项目支</w:t>
      </w:r>
    </w:p>
    <w:p>
      <w:pPr>
        <w:pStyle w:val="BodyText"/>
        <w:spacing w:line="565" w:lineRule="exact"/>
        <w:ind w:left="116"/>
      </w:pPr>
      <w:r>
        <w:rPr>
          <w:spacing w:val="-4"/>
        </w:rPr>
        <w:t>出预算 </w:t>
      </w:r>
      <w:r>
        <w:rPr>
          <w:rFonts w:ascii="Times New Roman" w:eastAsia="Times New Roman"/>
        </w:rPr>
        <w:t>837.77</w:t>
      </w:r>
      <w:r>
        <w:rPr>
          <w:rFonts w:ascii="Times New Roman" w:eastAsia="Times New Roman"/>
          <w:spacing w:val="-2"/>
        </w:rPr>
        <w:t> </w:t>
      </w:r>
      <w:r>
        <w:rPr>
          <w:spacing w:val="-4"/>
        </w:rPr>
        <w:t>万元，占 </w:t>
      </w:r>
      <w:r>
        <w:rPr>
          <w:rFonts w:ascii="Times New Roman" w:eastAsia="Times New Roman"/>
        </w:rPr>
        <w:t>24.07%</w:t>
      </w:r>
      <w:r>
        <w:rPr/>
        <w:t>。</w:t>
      </w:r>
    </w:p>
    <w:p>
      <w:pPr>
        <w:spacing w:after="0" w:line="565" w:lineRule="exact"/>
        <w:sectPr>
          <w:pgSz w:w="11910" w:h="16840"/>
          <w:pgMar w:header="0" w:footer="1549" w:top="1580" w:bottom="1820" w:left="1300" w:right="660"/>
        </w:sectPr>
      </w:pPr>
    </w:p>
    <w:p>
      <w:pPr>
        <w:pStyle w:val="BodyText"/>
        <w:spacing w:before="93"/>
        <w:ind w:left="756"/>
        <w:rPr>
          <w:rFonts w:ascii="SimSun" w:eastAsia="SimSun" w:hint="eastAsia"/>
        </w:rPr>
      </w:pPr>
      <w:bookmarkStart w:name="十、其他重要事项的情况说明 " w:id="23"/>
      <w:bookmarkEnd w:id="23"/>
      <w:r>
        <w:rPr/>
      </w:r>
      <w:r>
        <w:rPr>
          <w:rFonts w:ascii="SimSun" w:eastAsia="SimSun" w:hint="eastAsia"/>
          <w:w w:val="95"/>
        </w:rPr>
        <w:t>十、其他重要事项的情况说明</w:t>
      </w:r>
    </w:p>
    <w:p>
      <w:pPr>
        <w:pStyle w:val="BodyText"/>
        <w:spacing w:line="565" w:lineRule="exact" w:before="28"/>
        <w:ind w:left="756"/>
      </w:pPr>
      <w:bookmarkStart w:name="（一）机关运行经费 " w:id="24"/>
      <w:bookmarkEnd w:id="24"/>
      <w:r>
        <w:rPr/>
      </w:r>
      <w:r>
        <w:rPr>
          <w:w w:val="95"/>
        </w:rPr>
        <w:t>（一）机关运行经费</w:t>
      </w:r>
    </w:p>
    <w:p>
      <w:pPr>
        <w:pStyle w:val="BodyText"/>
        <w:spacing w:line="220" w:lineRule="auto" w:before="9"/>
        <w:ind w:left="116" w:right="436" w:firstLine="640"/>
      </w:pPr>
      <w:r>
        <w:rPr>
          <w:spacing w:val="-4"/>
        </w:rPr>
        <w:t>成都市温江区万春学校 </w:t>
      </w:r>
      <w:r>
        <w:rPr>
          <w:rFonts w:ascii="Times New Roman" w:eastAsia="Times New Roman"/>
          <w:spacing w:val="-2"/>
        </w:rPr>
        <w:t>2023</w:t>
      </w:r>
      <w:r>
        <w:rPr>
          <w:rFonts w:ascii="Times New Roman" w:eastAsia="Times New Roman"/>
          <w:spacing w:val="-9"/>
        </w:rPr>
        <w:t> </w:t>
      </w:r>
      <w:r>
        <w:rPr>
          <w:spacing w:val="-2"/>
        </w:rPr>
        <w:t>年履行一般行政管理职能、维持机</w:t>
      </w:r>
      <w:r>
        <w:rPr>
          <w:spacing w:val="-1"/>
        </w:rPr>
        <w:t>关日常运转而开支的机关运行经费，合计 </w:t>
      </w:r>
      <w:r>
        <w:rPr>
          <w:rFonts w:ascii="Times New Roman" w:eastAsia="Times New Roman"/>
        </w:rPr>
        <w:t>0 </w:t>
      </w:r>
      <w:r>
        <w:rPr/>
        <w:t>万元。</w:t>
      </w:r>
    </w:p>
    <w:p>
      <w:pPr>
        <w:pStyle w:val="BodyText"/>
        <w:spacing w:line="526" w:lineRule="exact"/>
        <w:ind w:left="756"/>
      </w:pPr>
      <w:bookmarkStart w:name="（二）政府采购情况 " w:id="25"/>
      <w:bookmarkEnd w:id="25"/>
      <w:r>
        <w:rPr/>
      </w:r>
      <w:r>
        <w:rPr>
          <w:w w:val="95"/>
        </w:rPr>
        <w:t>（二）政府采购情况</w:t>
      </w:r>
    </w:p>
    <w:p>
      <w:pPr>
        <w:pStyle w:val="BodyText"/>
        <w:spacing w:line="540" w:lineRule="exact"/>
        <w:ind w:left="756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1"/>
        </w:rPr>
        <w:t>年成都市温江区万春学校政府采购预算总额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>
          <w:spacing w:val="-23"/>
        </w:rPr>
        <w:t>万元，其中：</w:t>
      </w:r>
    </w:p>
    <w:p>
      <w:pPr>
        <w:pStyle w:val="BodyText"/>
        <w:spacing w:line="540" w:lineRule="exact"/>
        <w:ind w:left="116"/>
      </w:pPr>
      <w:r>
        <w:rPr>
          <w:spacing w:val="-2"/>
        </w:rPr>
        <w:t>政府采购货物预算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>
          <w:spacing w:val="-2"/>
        </w:rPr>
        <w:t>万元、政府采购工程预算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/>
        <w:t>万元、政府采购服</w:t>
      </w:r>
    </w:p>
    <w:p>
      <w:pPr>
        <w:pStyle w:val="BodyText"/>
        <w:spacing w:line="540" w:lineRule="exact"/>
        <w:ind w:left="116"/>
      </w:pPr>
      <w:r>
        <w:rPr>
          <w:spacing w:val="-4"/>
        </w:rPr>
        <w:t>务预算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万元。</w:t>
      </w:r>
    </w:p>
    <w:p>
      <w:pPr>
        <w:pStyle w:val="BodyText"/>
        <w:spacing w:line="540" w:lineRule="exact"/>
        <w:ind w:left="756"/>
      </w:pPr>
      <w:bookmarkStart w:name="（三）国有资产占有使用情况 " w:id="26"/>
      <w:bookmarkEnd w:id="26"/>
      <w:r>
        <w:rPr/>
      </w:r>
      <w:r>
        <w:rPr>
          <w:w w:val="95"/>
        </w:rPr>
        <w:t>（三）国有资产占有使用情况</w:t>
      </w:r>
    </w:p>
    <w:p>
      <w:pPr>
        <w:pStyle w:val="BodyText"/>
        <w:spacing w:line="220" w:lineRule="auto" w:before="8"/>
        <w:ind w:left="116" w:right="467" w:firstLine="640"/>
        <w:jc w:val="both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7"/>
        </w:rPr>
        <w:t> </w:t>
      </w:r>
      <w:r>
        <w:rPr>
          <w:spacing w:val="-2"/>
        </w:rPr>
        <w:t>年，成都市温江区万春学校共有车辆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6"/>
        </w:rPr>
        <w:t> </w:t>
      </w:r>
      <w:r>
        <w:rPr/>
        <w:t>辆，其中，一般公</w:t>
      </w:r>
      <w:r>
        <w:rPr>
          <w:spacing w:val="-5"/>
        </w:rPr>
        <w:t>务用车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> </w:t>
      </w:r>
      <w:r>
        <w:rPr>
          <w:spacing w:val="-2"/>
        </w:rPr>
        <w:t>辆、特种专业技术用车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3"/>
        </w:rPr>
        <w:t> </w:t>
      </w:r>
      <w:r>
        <w:rPr/>
        <w:t>辆。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4"/>
        </w:rPr>
        <w:t> </w:t>
      </w:r>
      <w:r>
        <w:rPr/>
        <w:t>年成都市温江区万春学</w:t>
      </w:r>
      <w:r>
        <w:rPr>
          <w:spacing w:val="-2"/>
        </w:rPr>
        <w:t>校部门安排购置车辆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辆。其中：所属事业单位使用财政资金购置</w:t>
      </w:r>
    </w:p>
    <w:p>
      <w:pPr>
        <w:pStyle w:val="BodyText"/>
        <w:spacing w:line="523" w:lineRule="exact"/>
        <w:ind w:left="116"/>
        <w:jc w:val="both"/>
      </w:pPr>
      <w:r>
        <w:rPr>
          <w:spacing w:val="-5"/>
        </w:rPr>
        <w:t>车辆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>
          <w:spacing w:val="-1"/>
        </w:rPr>
        <w:t>辆，使用非财政资金购置车辆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2"/>
        </w:rPr>
        <w:t> </w:t>
      </w:r>
      <w:r>
        <w:rPr/>
        <w:t>辆。</w:t>
      </w: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2"/>
        </w:rPr>
        <w:t> </w:t>
      </w:r>
      <w:r>
        <w:rPr/>
        <w:t>年成都市温江区万</w:t>
      </w:r>
    </w:p>
    <w:p>
      <w:pPr>
        <w:pStyle w:val="BodyText"/>
        <w:spacing w:line="540" w:lineRule="exact"/>
        <w:ind w:left="116"/>
        <w:jc w:val="both"/>
      </w:pPr>
      <w:r>
        <w:rPr>
          <w:spacing w:val="5"/>
        </w:rPr>
        <w:t>春学校无购置单位价值 </w:t>
      </w:r>
      <w:r>
        <w:rPr>
          <w:rFonts w:ascii="Times New Roman" w:eastAsia="Times New Roman"/>
        </w:rPr>
        <w:t>200</w:t>
      </w:r>
      <w:r>
        <w:rPr>
          <w:rFonts w:ascii="Times New Roman" w:eastAsia="Times New Roman"/>
          <w:spacing w:val="-1"/>
        </w:rPr>
        <w:t> </w:t>
      </w:r>
      <w:r>
        <w:rPr/>
        <w:t>万元以上大型设备计划。</w:t>
      </w:r>
    </w:p>
    <w:p>
      <w:pPr>
        <w:pStyle w:val="BodyText"/>
        <w:spacing w:line="540" w:lineRule="exact"/>
        <w:ind w:left="756"/>
      </w:pPr>
      <w:bookmarkStart w:name="（四）绩效目标设置情况 " w:id="27"/>
      <w:bookmarkEnd w:id="27"/>
      <w:r>
        <w:rPr/>
      </w:r>
      <w:r>
        <w:rPr>
          <w:w w:val="95"/>
        </w:rPr>
        <w:t>（四）绩效目标设置情况</w:t>
      </w:r>
    </w:p>
    <w:p>
      <w:pPr>
        <w:pStyle w:val="BodyText"/>
        <w:spacing w:line="540" w:lineRule="exact"/>
        <w:ind w:left="756"/>
      </w:pPr>
      <w:r>
        <w:rPr>
          <w:rFonts w:ascii="Times New Roman" w:eastAsia="Times New Roman"/>
        </w:rPr>
        <w:t>2023</w:t>
      </w:r>
      <w:r>
        <w:rPr>
          <w:rFonts w:ascii="Times New Roman" w:eastAsia="Times New Roman"/>
          <w:spacing w:val="-3"/>
        </w:rPr>
        <w:t> </w:t>
      </w:r>
      <w:r>
        <w:rPr>
          <w:spacing w:val="-1"/>
        </w:rPr>
        <w:t>年成都市温江区万春学校实行绩效目标管理的项目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个，</w:t>
      </w:r>
    </w:p>
    <w:p>
      <w:pPr>
        <w:pStyle w:val="BodyText"/>
        <w:spacing w:line="540" w:lineRule="exact"/>
        <w:ind w:left="116"/>
        <w:rPr>
          <w:rFonts w:ascii="Times New Roman" w:eastAsia="Times New Roman"/>
        </w:rPr>
      </w:pPr>
      <w:r>
        <w:rPr>
          <w:spacing w:val="-3"/>
        </w:rPr>
        <w:t>涉及预算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2"/>
        </w:rPr>
        <w:t>万元，其中，一般公共预算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>
          <w:spacing w:val="-2"/>
        </w:rPr>
        <w:t>万元，政府性基金预算 </w:t>
      </w:r>
      <w:r>
        <w:rPr>
          <w:rFonts w:ascii="Times New Roman" w:eastAsia="Times New Roman"/>
        </w:rPr>
        <w:t>0</w:t>
      </w:r>
    </w:p>
    <w:p>
      <w:pPr>
        <w:pStyle w:val="BodyText"/>
        <w:spacing w:line="565" w:lineRule="exact"/>
        <w:ind w:left="116"/>
      </w:pPr>
      <w:r>
        <w:rPr>
          <w:spacing w:val="-2"/>
        </w:rPr>
        <w:t>万元，非财政资金预算 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1"/>
        </w:rPr>
        <w:t> </w:t>
      </w:r>
      <w:r>
        <w:rPr/>
        <w:t>万元。</w:t>
      </w:r>
    </w:p>
    <w:p>
      <w:pPr>
        <w:spacing w:after="0" w:line="565" w:lineRule="exact"/>
        <w:sectPr>
          <w:pgSz w:w="11910" w:h="16840"/>
          <w:pgMar w:header="0" w:footer="1549" w:top="1580" w:bottom="174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56"/>
        <w:ind w:left="2790" w:right="3424"/>
        <w:jc w:val="center"/>
      </w:pPr>
      <w:r>
        <w:rPr>
          <w:spacing w:val="-5"/>
        </w:rPr>
        <w:t>第三部分 名词解释</w:t>
      </w:r>
    </w:p>
    <w:p>
      <w:pPr>
        <w:spacing w:after="0"/>
        <w:jc w:val="center"/>
        <w:sectPr>
          <w:pgSz w:w="11910" w:h="16840"/>
          <w:pgMar w:header="0" w:footer="1549" w:top="1580" w:bottom="1820" w:left="1300" w:right="660"/>
        </w:sectPr>
      </w:pP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32" w:lineRule="auto" w:before="32" w:after="0"/>
        <w:ind w:left="127" w:right="724" w:firstLine="619"/>
        <w:jc w:val="left"/>
        <w:rPr>
          <w:sz w:val="32"/>
        </w:rPr>
      </w:pPr>
      <w:r>
        <w:rPr>
          <w:w w:val="95"/>
          <w:sz w:val="32"/>
        </w:rPr>
        <w:t>一般公共预算拨款收入：指区级财政从当年公共预算拨付的</w:t>
      </w:r>
      <w:r>
        <w:rPr>
          <w:sz w:val="32"/>
        </w:rPr>
        <w:t>资金。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20" w:lineRule="auto" w:before="0" w:after="0"/>
        <w:ind w:left="116" w:right="719" w:firstLine="631"/>
        <w:jc w:val="left"/>
        <w:rPr>
          <w:sz w:val="32"/>
        </w:rPr>
      </w:pPr>
      <w:r>
        <w:rPr>
          <w:w w:val="95"/>
          <w:sz w:val="32"/>
        </w:rPr>
        <w:t>事业收入：指事业单位开展专业业务活动及辅助活动取得的</w:t>
      </w:r>
      <w:r>
        <w:rPr>
          <w:sz w:val="32"/>
        </w:rPr>
        <w:t>收入。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32" w:lineRule="auto" w:before="0" w:after="0"/>
        <w:ind w:left="127" w:right="724" w:firstLine="619"/>
        <w:jc w:val="left"/>
        <w:rPr>
          <w:sz w:val="32"/>
        </w:rPr>
      </w:pPr>
      <w:r>
        <w:rPr>
          <w:w w:val="95"/>
          <w:sz w:val="32"/>
        </w:rPr>
        <w:t>上年结转：指以前年度尚未完成、结转到本年仍按原规定用</w:t>
      </w:r>
      <w:r>
        <w:rPr>
          <w:sz w:val="32"/>
        </w:rPr>
        <w:t>途继续使用的资金。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32" w:lineRule="auto" w:before="3" w:after="0"/>
        <w:ind w:left="127" w:right="724" w:firstLine="619"/>
        <w:jc w:val="left"/>
        <w:rPr>
          <w:sz w:val="32"/>
        </w:rPr>
      </w:pPr>
      <w:r>
        <w:rPr>
          <w:w w:val="95"/>
          <w:sz w:val="32"/>
        </w:rPr>
        <w:t>基本支出：指为保障机构正常运转、完成曰常工作任务而发</w:t>
      </w:r>
      <w:r>
        <w:rPr>
          <w:sz w:val="32"/>
        </w:rPr>
        <w:t>生的人员支出和公用支出。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32" w:lineRule="auto" w:before="3" w:after="0"/>
        <w:ind w:left="127" w:right="724" w:firstLine="619"/>
        <w:jc w:val="left"/>
        <w:rPr>
          <w:sz w:val="32"/>
        </w:rPr>
      </w:pPr>
      <w:r>
        <w:rPr>
          <w:w w:val="95"/>
          <w:sz w:val="32"/>
        </w:rPr>
        <w:t>项目支出：指在基本支出之外为完成特定行政任务和事业发</w:t>
      </w:r>
      <w:r>
        <w:rPr>
          <w:sz w:val="32"/>
        </w:rPr>
        <w:t>展目标所发生的支出。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32" w:lineRule="auto" w:before="3" w:after="0"/>
        <w:ind w:left="127" w:right="664" w:firstLine="619"/>
        <w:jc w:val="both"/>
        <w:rPr>
          <w:sz w:val="32"/>
        </w:rPr>
      </w:pPr>
      <w:r>
        <w:rPr>
          <w:spacing w:val="-3"/>
          <w:sz w:val="32"/>
        </w:rPr>
        <w:t>专项资金：指由区级财政性资金安排，用于支持经济社会发</w:t>
      </w:r>
      <w:r>
        <w:rPr>
          <w:w w:val="95"/>
          <w:sz w:val="32"/>
        </w:rPr>
        <w:t>展、实现特定政策目标或者完成重大工作任务，在一定时期内具有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专门用途的资金。不包括用于满足部门履行职能和自身特殊事项需</w:t>
      </w:r>
      <w:r>
        <w:rPr>
          <w:spacing w:val="1"/>
          <w:w w:val="95"/>
          <w:sz w:val="32"/>
        </w:rPr>
        <w:t> </w:t>
      </w:r>
      <w:r>
        <w:rPr>
          <w:sz w:val="32"/>
        </w:rPr>
        <w:t>要的专项业务费。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20" w:lineRule="auto" w:before="3" w:after="0"/>
        <w:ind w:left="116" w:right="664" w:firstLine="631"/>
        <w:jc w:val="both"/>
        <w:rPr>
          <w:sz w:val="32"/>
        </w:rPr>
      </w:pPr>
      <w:r>
        <w:rPr>
          <w:spacing w:val="-3"/>
          <w:sz w:val="32"/>
        </w:rPr>
        <w:t>社会保障和就业（类）行政事业单位养老支出</w:t>
      </w:r>
      <w:r>
        <w:rPr>
          <w:spacing w:val="-2"/>
          <w:sz w:val="32"/>
        </w:rPr>
        <w:t>（款）机关事</w:t>
      </w:r>
      <w:r>
        <w:rPr>
          <w:w w:val="95"/>
          <w:sz w:val="32"/>
        </w:rPr>
        <w:t>业单位基本养老保险缴费支出（项）：反映机关事业单位实施养老</w:t>
      </w:r>
      <w:r>
        <w:rPr>
          <w:spacing w:val="1"/>
          <w:w w:val="95"/>
          <w:sz w:val="32"/>
        </w:rPr>
        <w:t> </w:t>
      </w:r>
      <w:r>
        <w:rPr>
          <w:sz w:val="32"/>
        </w:rPr>
        <w:t>保险制度由单位实际缴纳的基本养老保险费支出。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220" w:lineRule="auto" w:before="0" w:after="0"/>
        <w:ind w:left="116" w:right="664" w:firstLine="631"/>
        <w:jc w:val="both"/>
        <w:rPr>
          <w:sz w:val="32"/>
        </w:rPr>
      </w:pPr>
      <w:r>
        <w:rPr>
          <w:spacing w:val="-3"/>
          <w:sz w:val="32"/>
        </w:rPr>
        <w:t>社会保障和就业（类）行政事业单位养老支出</w:t>
      </w:r>
      <w:r>
        <w:rPr>
          <w:spacing w:val="-2"/>
          <w:sz w:val="32"/>
        </w:rPr>
        <w:t>（款）机关事</w:t>
      </w:r>
      <w:r>
        <w:rPr>
          <w:w w:val="95"/>
          <w:sz w:val="32"/>
        </w:rPr>
        <w:t>业单位职业年金缴费支出（项）：反映机关事业单位实施养老保险</w:t>
      </w:r>
      <w:r>
        <w:rPr>
          <w:spacing w:val="1"/>
          <w:w w:val="95"/>
          <w:sz w:val="32"/>
        </w:rPr>
        <w:t> </w:t>
      </w:r>
      <w:r>
        <w:rPr>
          <w:sz w:val="32"/>
        </w:rPr>
        <w:t>制度由单位实际缴纳的职业年金支出。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523" w:lineRule="exact" w:before="0" w:after="0"/>
        <w:ind w:left="1009" w:right="0" w:hanging="263"/>
        <w:jc w:val="left"/>
        <w:rPr>
          <w:sz w:val="32"/>
        </w:rPr>
      </w:pPr>
      <w:r>
        <w:rPr>
          <w:spacing w:val="-2"/>
          <w:sz w:val="32"/>
        </w:rPr>
        <w:t>卫生健康支出（类）行政事业单位医疗（款）事业单位医疗</w:t>
      </w:r>
    </w:p>
    <w:p>
      <w:pPr>
        <w:pStyle w:val="BodyText"/>
        <w:spacing w:line="220" w:lineRule="auto" w:before="1"/>
        <w:ind w:left="116" w:right="664"/>
        <w:jc w:val="both"/>
      </w:pPr>
      <w:r>
        <w:rPr>
          <w:w w:val="95"/>
        </w:rPr>
        <w:t>（项）：指财政部门安排的事业单位基本医疗保险缴费经费，未参</w:t>
      </w:r>
      <w:r>
        <w:rPr>
          <w:spacing w:val="1"/>
          <w:w w:val="95"/>
        </w:rPr>
        <w:t> </w:t>
      </w:r>
      <w:r>
        <w:rPr>
          <w:w w:val="95"/>
        </w:rPr>
        <w:t>加医疗保险的事业单位的公费医疗经费，按国家规定享受离休人员</w:t>
      </w:r>
      <w:r>
        <w:rPr>
          <w:spacing w:val="1"/>
          <w:w w:val="95"/>
        </w:rPr>
        <w:t> </w:t>
      </w:r>
      <w:r>
        <w:rPr/>
        <w:t>待遇的医疗经费。</w:t>
      </w:r>
    </w:p>
    <w:p>
      <w:pPr>
        <w:spacing w:after="0" w:line="220" w:lineRule="auto"/>
        <w:jc w:val="both"/>
        <w:sectPr>
          <w:footerReference w:type="default" r:id="rId6"/>
          <w:pgSz w:w="11910" w:h="16840"/>
          <w:pgMar w:footer="1414" w:header="0" w:top="1580" w:bottom="1600" w:left="1300" w:right="660"/>
        </w:sectPr>
      </w:pPr>
    </w:p>
    <w:p>
      <w:pPr>
        <w:pStyle w:val="ListParagraph"/>
        <w:numPr>
          <w:ilvl w:val="0"/>
          <w:numId w:val="4"/>
        </w:numPr>
        <w:tabs>
          <w:tab w:pos="1198" w:val="left" w:leader="none"/>
        </w:tabs>
        <w:spacing w:line="220" w:lineRule="auto" w:before="27" w:after="0"/>
        <w:ind w:left="116" w:right="505" w:firstLine="631"/>
        <w:jc w:val="left"/>
        <w:rPr>
          <w:sz w:val="32"/>
        </w:rPr>
      </w:pPr>
      <w:r>
        <w:rPr>
          <w:spacing w:val="-10"/>
          <w:w w:val="99"/>
          <w:sz w:val="32"/>
        </w:rPr>
        <w:t>住房保障支出</w:t>
      </w:r>
      <w:r>
        <w:rPr>
          <w:spacing w:val="-5"/>
          <w:w w:val="99"/>
          <w:sz w:val="32"/>
        </w:rPr>
        <w:t>（</w:t>
      </w:r>
      <w:r>
        <w:rPr>
          <w:spacing w:val="-3"/>
          <w:w w:val="99"/>
          <w:sz w:val="32"/>
        </w:rPr>
        <w:t>类</w:t>
      </w:r>
      <w:r>
        <w:rPr>
          <w:spacing w:val="-34"/>
          <w:w w:val="99"/>
          <w:sz w:val="32"/>
        </w:rPr>
        <w:t>）</w:t>
      </w:r>
      <w:r>
        <w:rPr>
          <w:spacing w:val="-10"/>
          <w:w w:val="99"/>
          <w:sz w:val="32"/>
        </w:rPr>
        <w:t>住房改革支出</w:t>
      </w:r>
      <w:r>
        <w:rPr>
          <w:spacing w:val="-2"/>
          <w:w w:val="99"/>
          <w:sz w:val="32"/>
        </w:rPr>
        <w:t>（</w:t>
      </w:r>
      <w:r>
        <w:rPr>
          <w:spacing w:val="-5"/>
          <w:w w:val="99"/>
          <w:sz w:val="32"/>
        </w:rPr>
        <w:t>款</w:t>
      </w:r>
      <w:r>
        <w:rPr>
          <w:spacing w:val="-34"/>
          <w:w w:val="99"/>
          <w:sz w:val="32"/>
        </w:rPr>
        <w:t>）</w:t>
      </w:r>
      <w:r>
        <w:rPr>
          <w:spacing w:val="-11"/>
          <w:w w:val="99"/>
          <w:sz w:val="32"/>
        </w:rPr>
        <w:t>住房公积金</w:t>
      </w:r>
      <w:r>
        <w:rPr>
          <w:spacing w:val="-3"/>
          <w:w w:val="99"/>
          <w:sz w:val="32"/>
        </w:rPr>
        <w:t>（项</w:t>
      </w:r>
      <w:r>
        <w:rPr>
          <w:spacing w:val="-139"/>
          <w:w w:val="99"/>
          <w:sz w:val="32"/>
        </w:rPr>
        <w:t>）</w:t>
      </w:r>
      <w:r>
        <w:rPr>
          <w:w w:val="99"/>
          <w:sz w:val="32"/>
        </w:rPr>
        <w:t>：</w:t>
      </w:r>
      <w:r>
        <w:rPr>
          <w:spacing w:val="-1"/>
          <w:sz w:val="32"/>
        </w:rPr>
        <w:t>指行政事业单位按人力资源和社会保障部、财政部规定的基本工资</w:t>
      </w:r>
      <w:r>
        <w:rPr>
          <w:sz w:val="32"/>
        </w:rPr>
        <w:t>和津贴补贴以及规定比例为职工缴纳的住房公积金。</w:t>
      </w:r>
    </w:p>
    <w:p>
      <w:pPr>
        <w:pStyle w:val="ListParagraph"/>
        <w:numPr>
          <w:ilvl w:val="0"/>
          <w:numId w:val="4"/>
        </w:numPr>
        <w:tabs>
          <w:tab w:pos="1198" w:val="left" w:leader="none"/>
        </w:tabs>
        <w:spacing w:line="220" w:lineRule="auto" w:before="0" w:after="0"/>
        <w:ind w:left="116" w:right="664" w:firstLine="631"/>
        <w:jc w:val="both"/>
        <w:rPr>
          <w:sz w:val="32"/>
        </w:rPr>
      </w:pPr>
      <w:r>
        <w:rPr>
          <w:w w:val="95"/>
          <w:sz w:val="32"/>
        </w:rPr>
        <w:t>教育支出（类）教育管理事务（款）行政运行（教育管理事务）（项）：反映行政单位（包括实行公务员管理的事业单位）的</w:t>
      </w:r>
      <w:r>
        <w:rPr>
          <w:spacing w:val="1"/>
          <w:w w:val="95"/>
          <w:sz w:val="32"/>
        </w:rPr>
        <w:t> </w:t>
      </w:r>
      <w:r>
        <w:rPr>
          <w:sz w:val="32"/>
        </w:rPr>
        <w:t>基本支出。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523" w:lineRule="exact" w:before="0" w:after="0"/>
        <w:ind w:left="1197" w:right="664" w:hanging="1198"/>
        <w:jc w:val="right"/>
        <w:rPr>
          <w:sz w:val="32"/>
        </w:rPr>
      </w:pPr>
      <w:r>
        <w:rPr>
          <w:w w:val="95"/>
          <w:sz w:val="32"/>
        </w:rPr>
        <w:t>教育支出（类）教育管理事务（款）其他教育管理事务支出</w:t>
      </w:r>
    </w:p>
    <w:p>
      <w:pPr>
        <w:pStyle w:val="BodyText"/>
        <w:spacing w:line="220" w:lineRule="auto" w:before="1"/>
        <w:ind w:left="747" w:right="664" w:hanging="632"/>
        <w:jc w:val="right"/>
      </w:pPr>
      <w:r>
        <w:rPr>
          <w:w w:val="95"/>
        </w:rPr>
        <w:t>（项）：反映除上述项目以外其他用于教育管理事务方面的支出。13.教育支出（类）普通教育（款）学前教育（项）：反映各部</w:t>
      </w:r>
    </w:p>
    <w:p>
      <w:pPr>
        <w:pStyle w:val="BodyText"/>
        <w:spacing w:line="220" w:lineRule="auto"/>
        <w:ind w:left="116" w:right="664"/>
      </w:pPr>
      <w:r>
        <w:rPr>
          <w:w w:val="95"/>
        </w:rPr>
        <w:t>门举办的学前教育支出。政府各部门对社会组织等举办的幼儿园的</w:t>
      </w:r>
      <w:r>
        <w:rPr>
          <w:spacing w:val="1"/>
          <w:w w:val="95"/>
        </w:rPr>
        <w:t> </w:t>
      </w:r>
      <w:r>
        <w:rPr/>
        <w:t>资助，如捐赠、补贴等，也在本科目中反映。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4" w:firstLine="631"/>
        <w:jc w:val="both"/>
        <w:rPr>
          <w:sz w:val="32"/>
        </w:rPr>
      </w:pPr>
      <w:r>
        <w:rPr>
          <w:w w:val="95"/>
          <w:sz w:val="32"/>
        </w:rPr>
        <w:t>教育支出（类）普通教育（款）小学教育（项）：反映各部门举办的小学教育支出。政府各部门对社会组织等举办的小学的资</w:t>
      </w:r>
      <w:r>
        <w:rPr>
          <w:spacing w:val="1"/>
          <w:w w:val="95"/>
          <w:sz w:val="32"/>
        </w:rPr>
        <w:t> </w:t>
      </w:r>
      <w:r>
        <w:rPr>
          <w:sz w:val="32"/>
        </w:rPr>
        <w:t>助，如捐赠、补贴等，也在本科目中反映。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4" w:firstLine="631"/>
        <w:jc w:val="both"/>
        <w:rPr>
          <w:sz w:val="32"/>
        </w:rPr>
      </w:pPr>
      <w:r>
        <w:rPr>
          <w:w w:val="95"/>
          <w:sz w:val="32"/>
        </w:rPr>
        <w:t>教育支出（类）普通教育（款）初中教育（项）：反映各部门举办的初中教育支出。政府各部门对社会组织等举办的初中的资</w:t>
      </w:r>
      <w:r>
        <w:rPr>
          <w:spacing w:val="1"/>
          <w:w w:val="95"/>
          <w:sz w:val="32"/>
        </w:rPr>
        <w:t> </w:t>
      </w:r>
      <w:r>
        <w:rPr>
          <w:sz w:val="32"/>
        </w:rPr>
        <w:t>助，如捐赠、补贴等，也在本科目中反映。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4" w:firstLine="631"/>
        <w:jc w:val="both"/>
        <w:rPr>
          <w:sz w:val="32"/>
        </w:rPr>
      </w:pPr>
      <w:r>
        <w:rPr>
          <w:w w:val="95"/>
          <w:sz w:val="32"/>
        </w:rPr>
        <w:t>教育支出（类）普通教育（款）高中教育（项）：反映各部门举办的普通高中教育支出。政府各部门对社会组织等举办的普通</w:t>
      </w:r>
      <w:r>
        <w:rPr>
          <w:spacing w:val="1"/>
          <w:w w:val="95"/>
          <w:sz w:val="32"/>
        </w:rPr>
        <w:t> </w:t>
      </w:r>
      <w:r>
        <w:rPr>
          <w:sz w:val="32"/>
        </w:rPr>
        <w:t>高中的资助，如捐赠、补贴等，也在本科目中反映。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2" w:firstLine="631"/>
        <w:jc w:val="both"/>
        <w:rPr>
          <w:sz w:val="32"/>
        </w:rPr>
      </w:pPr>
      <w:r>
        <w:rPr>
          <w:w w:val="95"/>
          <w:sz w:val="32"/>
        </w:rPr>
        <w:t>教育支出（类）职业教育（款）中等职业教育（项）：反映各部门（不含人力资源社会保障部门）举办的中等职业教育支出。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政府各部门对社会组织等举办的中等职业学校的资助，如捐赠、补</w:t>
      </w:r>
      <w:r>
        <w:rPr>
          <w:spacing w:val="1"/>
          <w:w w:val="95"/>
          <w:sz w:val="32"/>
        </w:rPr>
        <w:t> </w:t>
      </w:r>
      <w:r>
        <w:rPr>
          <w:sz w:val="32"/>
        </w:rPr>
        <w:t>贴等，也在本科目中反映。</w:t>
      </w:r>
    </w:p>
    <w:p>
      <w:pPr>
        <w:spacing w:after="0" w:line="220" w:lineRule="auto"/>
        <w:jc w:val="both"/>
        <w:rPr>
          <w:sz w:val="32"/>
        </w:rPr>
        <w:sectPr>
          <w:pgSz w:w="11910" w:h="16840"/>
          <w:pgMar w:header="0" w:footer="1414" w:top="1580" w:bottom="1600" w:left="1300" w:right="660"/>
        </w:sectPr>
      </w:pP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27" w:after="0"/>
        <w:ind w:left="116" w:right="535" w:firstLine="631"/>
        <w:jc w:val="left"/>
        <w:rPr>
          <w:sz w:val="32"/>
        </w:rPr>
      </w:pPr>
      <w:r>
        <w:rPr>
          <w:w w:val="95"/>
          <w:sz w:val="32"/>
        </w:rPr>
        <w:t>教育支出（类）职业教育（款）其他职业教育支出（项）：</w:t>
      </w:r>
      <w:r>
        <w:rPr>
          <w:spacing w:val="1"/>
          <w:w w:val="95"/>
          <w:sz w:val="32"/>
        </w:rPr>
        <w:t> </w:t>
      </w:r>
      <w:r>
        <w:rPr>
          <w:sz w:val="32"/>
        </w:rPr>
        <w:t>反映除上述项目以外其他用于职业教育方面的支出。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535" w:firstLine="631"/>
        <w:jc w:val="left"/>
        <w:rPr>
          <w:sz w:val="32"/>
        </w:rPr>
      </w:pPr>
      <w:r>
        <w:rPr>
          <w:w w:val="95"/>
          <w:sz w:val="32"/>
        </w:rPr>
        <w:t>教育支出（类）成人教育（款）其他成人教育支出（项）：</w:t>
      </w:r>
      <w:r>
        <w:rPr>
          <w:spacing w:val="1"/>
          <w:w w:val="95"/>
          <w:sz w:val="32"/>
        </w:rPr>
        <w:t> </w:t>
      </w:r>
      <w:r>
        <w:rPr>
          <w:sz w:val="32"/>
        </w:rPr>
        <w:t>反映除上述项目以外其他用于成人教育方面的支出。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2" w:firstLine="631"/>
        <w:jc w:val="both"/>
        <w:rPr>
          <w:sz w:val="32"/>
        </w:rPr>
      </w:pPr>
      <w:r>
        <w:rPr>
          <w:w w:val="95"/>
          <w:sz w:val="32"/>
        </w:rPr>
        <w:t>教育支出（类）特殊教育（款）特殊学校教育（项）：反映各部门举办盲童学校、聋哑学校、智力落后儿童学校、其他生理缺</w:t>
      </w:r>
      <w:r>
        <w:rPr>
          <w:spacing w:val="1"/>
          <w:w w:val="95"/>
          <w:sz w:val="32"/>
        </w:rPr>
        <w:t> </w:t>
      </w:r>
      <w:r>
        <w:rPr>
          <w:sz w:val="32"/>
        </w:rPr>
        <w:t>陷儿童学校的支出。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535" w:firstLine="631"/>
        <w:jc w:val="left"/>
        <w:rPr>
          <w:sz w:val="32"/>
        </w:rPr>
      </w:pPr>
      <w:r>
        <w:rPr>
          <w:w w:val="95"/>
          <w:sz w:val="32"/>
        </w:rPr>
        <w:t>教育支出（类）特殊教育（款）其他特殊教育支出（项）：</w:t>
      </w:r>
      <w:r>
        <w:rPr>
          <w:spacing w:val="1"/>
          <w:w w:val="95"/>
          <w:sz w:val="32"/>
        </w:rPr>
        <w:t> </w:t>
      </w:r>
      <w:r>
        <w:rPr>
          <w:sz w:val="32"/>
        </w:rPr>
        <w:t>反映除上述项目以外其他用于特殊教育方面的支出。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4" w:firstLine="631"/>
        <w:jc w:val="left"/>
        <w:rPr>
          <w:sz w:val="32"/>
        </w:rPr>
      </w:pPr>
      <w:r>
        <w:rPr>
          <w:w w:val="95"/>
          <w:sz w:val="32"/>
        </w:rPr>
        <w:t>教育支出（类）进修及培训（款）教师进修（项）：反映教</w:t>
      </w:r>
      <w:r>
        <w:rPr>
          <w:sz w:val="32"/>
        </w:rPr>
        <w:t>师进修、师资培训支出。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664" w:firstLine="631"/>
        <w:jc w:val="left"/>
        <w:rPr>
          <w:sz w:val="32"/>
        </w:rPr>
      </w:pPr>
      <w:r>
        <w:rPr>
          <w:w w:val="95"/>
          <w:sz w:val="32"/>
        </w:rPr>
        <w:t>教育支出（类）教育费附加安排的支出（款）其他教育费附</w:t>
      </w:r>
      <w:r>
        <w:rPr>
          <w:sz w:val="32"/>
        </w:rPr>
        <w:t>加安排的支出（项）：反映除上述项目以外的教育附加支出。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20" w:lineRule="auto" w:before="0" w:after="0"/>
        <w:ind w:left="116" w:right="535" w:firstLine="631"/>
        <w:jc w:val="left"/>
        <w:rPr>
          <w:sz w:val="32"/>
        </w:rPr>
      </w:pPr>
      <w:r>
        <w:rPr>
          <w:w w:val="95"/>
          <w:sz w:val="32"/>
        </w:rPr>
        <w:t>教育支出（类）其他教育支出（款）其他教育支出（项）：</w:t>
      </w:r>
      <w:r>
        <w:rPr>
          <w:spacing w:val="1"/>
          <w:w w:val="95"/>
          <w:sz w:val="32"/>
        </w:rPr>
        <w:t> </w:t>
      </w:r>
      <w:r>
        <w:rPr>
          <w:sz w:val="32"/>
        </w:rPr>
        <w:t>反映除上述项目以外其他用于教育方面的支出。</w:t>
      </w:r>
    </w:p>
    <w:p>
      <w:pPr>
        <w:pStyle w:val="ListParagraph"/>
        <w:numPr>
          <w:ilvl w:val="0"/>
          <w:numId w:val="5"/>
        </w:numPr>
        <w:tabs>
          <w:tab w:pos="1205" w:val="left" w:leader="none"/>
        </w:tabs>
        <w:spacing w:line="220" w:lineRule="auto" w:before="90" w:after="0"/>
        <w:ind w:left="116" w:right="614" w:firstLine="638"/>
        <w:jc w:val="left"/>
        <w:rPr>
          <w:sz w:val="32"/>
        </w:rPr>
      </w:pPr>
      <w:r>
        <w:rPr>
          <w:spacing w:val="-10"/>
          <w:w w:val="95"/>
          <w:sz w:val="32"/>
        </w:rPr>
        <w:t>“三公”经费：指纳入区财政预决算管理的“三公”经费，</w:t>
      </w:r>
      <w:r>
        <w:rPr>
          <w:spacing w:val="1"/>
          <w:w w:val="95"/>
          <w:sz w:val="32"/>
        </w:rPr>
        <w:t> </w:t>
      </w:r>
      <w:r>
        <w:rPr>
          <w:sz w:val="32"/>
        </w:rPr>
        <w:t>是区级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535" w:lineRule="exact" w:before="0" w:after="0"/>
        <w:ind w:left="1197" w:right="0" w:hanging="451"/>
        <w:jc w:val="left"/>
        <w:rPr>
          <w:sz w:val="32"/>
        </w:rPr>
      </w:pPr>
      <w:r>
        <w:rPr>
          <w:spacing w:val="-14"/>
          <w:sz w:val="32"/>
        </w:rPr>
        <w:t>机关运行经费：指各部门的公用经费</w:t>
      </w:r>
      <w:r>
        <w:rPr>
          <w:spacing w:val="-2"/>
          <w:sz w:val="32"/>
        </w:rPr>
        <w:t>（包含所有单位的公用</w:t>
      </w:r>
    </w:p>
    <w:p>
      <w:pPr>
        <w:spacing w:after="0" w:line="535" w:lineRule="exact"/>
        <w:jc w:val="left"/>
        <w:rPr>
          <w:sz w:val="32"/>
        </w:rPr>
        <w:sectPr>
          <w:pgSz w:w="11910" w:h="16840"/>
          <w:pgMar w:header="0" w:footer="1414" w:top="1580" w:bottom="1600" w:left="1300" w:right="660"/>
        </w:sectPr>
      </w:pPr>
    </w:p>
    <w:p>
      <w:pPr>
        <w:pStyle w:val="BodyText"/>
        <w:spacing w:line="220" w:lineRule="auto" w:before="27"/>
        <w:ind w:left="116" w:right="664"/>
        <w:jc w:val="both"/>
      </w:pPr>
      <w:r>
        <w:rPr>
          <w:w w:val="95"/>
        </w:rPr>
        <w:t>经费及运转类项目经费），包括办公及印刷费、邮电费、差旅费、</w:t>
      </w:r>
      <w:r>
        <w:rPr>
          <w:spacing w:val="1"/>
          <w:w w:val="95"/>
        </w:rPr>
        <w:t> </w:t>
      </w:r>
      <w:r>
        <w:rPr>
          <w:w w:val="95"/>
        </w:rPr>
        <w:t>会议费、福利费、日常维修费、专用材料及一般设备购置费、办公</w:t>
      </w:r>
      <w:r>
        <w:rPr>
          <w:spacing w:val="1"/>
          <w:w w:val="95"/>
        </w:rPr>
        <w:t> </w:t>
      </w:r>
      <w:r>
        <w:rPr>
          <w:w w:val="95"/>
        </w:rPr>
        <w:t>用房水电费、办公用房物业管理费、公务用车运行维护费以及其他</w:t>
      </w:r>
      <w:r>
        <w:rPr>
          <w:spacing w:val="1"/>
          <w:w w:val="95"/>
        </w:rPr>
        <w:t> </w:t>
      </w:r>
      <w:r>
        <w:rPr/>
        <w:t>费用。</w:t>
      </w:r>
    </w:p>
    <w:p>
      <w:pPr>
        <w:spacing w:after="0" w:line="220" w:lineRule="auto"/>
        <w:jc w:val="both"/>
        <w:sectPr>
          <w:pgSz w:w="11910" w:h="16840"/>
          <w:pgMar w:header="0" w:footer="1414" w:top="1580" w:bottom="160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Heading1"/>
        <w:spacing w:before="56"/>
        <w:ind w:right="2129"/>
        <w:jc w:val="center"/>
      </w:pPr>
      <w:r>
        <w:rPr>
          <w:spacing w:val="-9"/>
        </w:rPr>
        <w:t>第四部分 </w:t>
      </w:r>
      <w:r>
        <w:rPr>
          <w:spacing w:val="-1"/>
        </w:rPr>
        <w:t>2023</w:t>
      </w:r>
      <w:r>
        <w:rPr>
          <w:spacing w:val="-10"/>
        </w:rPr>
        <w:t> 年部门预算表</w:t>
      </w:r>
    </w:p>
    <w:p>
      <w:pPr>
        <w:spacing w:after="0"/>
        <w:jc w:val="center"/>
        <w:sectPr>
          <w:pgSz w:w="11910" w:h="16840"/>
          <w:pgMar w:header="0" w:footer="1414" w:top="1580" w:bottom="1600" w:left="1300" w:right="660"/>
        </w:sect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9"/>
        <w:rPr>
          <w:rFonts w:ascii="SimSun"/>
          <w:sz w:val="28"/>
        </w:rPr>
      </w:pPr>
    </w:p>
    <w:p>
      <w:pPr>
        <w:spacing w:line="158" w:lineRule="auto" w:before="89"/>
        <w:ind w:left="2678" w:right="2682" w:firstLine="0"/>
        <w:jc w:val="center"/>
        <w:rPr>
          <w:rFonts w:ascii="Microsoft JhengHei" w:eastAsia="Microsoft JhengHei" w:hint="eastAsia"/>
          <w:b/>
          <w:sz w:val="66"/>
        </w:rPr>
      </w:pPr>
      <w:bookmarkStart w:name="605629-成都市温江区万春学校" w:id="28"/>
      <w:bookmarkEnd w:id="28"/>
      <w:r>
        <w:rPr/>
      </w:r>
      <w:r>
        <w:rPr>
          <w:rFonts w:ascii="Microsoft JhengHei" w:eastAsia="Microsoft JhengHei" w:hint="eastAsia"/>
          <w:b/>
          <w:sz w:val="66"/>
        </w:rPr>
        <w:t>成都市温江区万春学校2023年部门预算</w:t>
      </w:r>
    </w:p>
    <w:p>
      <w:pPr>
        <w:pStyle w:val="BodyText"/>
        <w:spacing w:before="5"/>
        <w:rPr>
          <w:rFonts w:ascii="Microsoft JhengHei"/>
          <w:b/>
          <w:sz w:val="83"/>
        </w:rPr>
      </w:pPr>
    </w:p>
    <w:p>
      <w:pPr>
        <w:spacing w:before="0"/>
        <w:ind w:left="2678" w:right="2679" w:firstLine="0"/>
        <w:jc w:val="center"/>
        <w:rPr>
          <w:rFonts w:ascii="SimSun" w:eastAsia="SimSun" w:hint="eastAsia"/>
          <w:sz w:val="29"/>
        </w:rPr>
      </w:pPr>
      <w:r>
        <w:rPr>
          <w:rFonts w:ascii="SimSun" w:eastAsia="SimSun" w:hint="eastAsia"/>
          <w:sz w:val="29"/>
        </w:rPr>
        <w:t>2023年03月02日</w:t>
      </w:r>
    </w:p>
    <w:p>
      <w:pPr>
        <w:spacing w:after="0"/>
        <w:jc w:val="center"/>
        <w:rPr>
          <w:rFonts w:ascii="SimSun" w:eastAsia="SimSun" w:hint="eastAsia"/>
          <w:sz w:val="29"/>
        </w:rPr>
        <w:sectPr>
          <w:footerReference w:type="default" r:id="rId7"/>
          <w:pgSz w:w="16840" w:h="11910" w:orient="landscape"/>
          <w:pgMar w:footer="0" w:header="0" w:top="1100" w:bottom="280" w:left="2420" w:right="2420"/>
        </w:sectPr>
      </w:pPr>
    </w:p>
    <w:p>
      <w:pPr>
        <w:spacing w:before="78"/>
        <w:ind w:left="0" w:right="114" w:firstLine="0"/>
        <w:jc w:val="right"/>
        <w:rPr>
          <w:rFonts w:ascii="SimSun"/>
          <w:sz w:val="13"/>
        </w:rPr>
      </w:pPr>
      <w:r>
        <w:rPr/>
        <w:pict>
          <v:shape style="position:absolute;margin-left:62.34pt;margin-top:2.330994pt;width:470.3pt;height:549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0"/>
                    <w:gridCol w:w="1341"/>
                    <w:gridCol w:w="3350"/>
                    <w:gridCol w:w="1341"/>
                  </w:tblGrid>
                  <w:tr>
                    <w:trPr>
                      <w:trHeight w:val="472" w:hRule="atLeast"/>
                    </w:trPr>
                    <w:tc>
                      <w:tcPr>
                        <w:tcW w:w="9382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13"/>
                          <w:ind w:right="10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表1</w:t>
                        </w:r>
                      </w:p>
                      <w:p>
                        <w:pPr>
                          <w:pStyle w:val="TableParagraph"/>
                          <w:spacing w:line="277" w:lineRule="exact"/>
                          <w:ind w:left="3994" w:right="3960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3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3"/>
                          </w:rPr>
                          <w:t>部门收支总表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350" w:type="dxa"/>
                        <w:tcBorders>
                          <w:top w:val="nil"/>
                          <w:left w:val="nil"/>
                          <w:bottom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182" w:lineRule="exact" w:before="35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部门：成都市温江区万春学校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/>
                          <w:bottom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nil"/>
                          <w:bottom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nil"/>
                          <w:bottom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182" w:lineRule="exact" w:before="35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金额单位：万元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691" w:type="dxa"/>
                        <w:gridSpan w:val="2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2003" w:right="19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收    入</w:t>
                        </w:r>
                      </w:p>
                    </w:tc>
                    <w:tc>
                      <w:tcPr>
                        <w:tcW w:w="4691" w:type="dxa"/>
                        <w:gridSpan w:val="2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2005" w:right="197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支    出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1335" w:right="13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项    目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预算数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1336" w:right="13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2"/>
                            <w:sz w:val="16"/>
                          </w:rPr>
                          <w:t>项    目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49"/>
                          <w:ind w:left="4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预算数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一、一般公共预算拨款收入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3,481.00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一、一般公共服务支出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二、政府性基金预算拨款收入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二、外交支出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三、国有资本经营预算拨款收入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三、国防支出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四、事业收入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四、公共安全支出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五、事业单位经营收入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五、教育支出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2,824.35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六、其他收入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六、科学技术支出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七、文化旅游体育与传媒支出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八、社会保障和就业支出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371.35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九、社会保险基金支出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十、卫生健康支出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85.69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十一、节能环保支出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十二、城乡社区支出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十三、农林水支出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十四、交通运输支出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40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十五、资源勘探工业信息等支出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十六、商业服务业等支出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十七、金融支出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十八、援助其他地区支出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十九、自然资源海洋气象等支出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二十、住房保障支出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199.60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二十一、粮油物资储备支出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二十二、国有资本经营预算支出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二十三、灾害防治及应急管理支出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二十四、预备费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二十五、其他支出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2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二十六、转移性支出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二十七、债务还本支出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二十八、债务付息支出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二十九、债务发行费用支出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三十、抗疫特别国债安排的支出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9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本 年 收 入 合 计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3,481.00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9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本 年 支 出 合 计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3,481.00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七、用事业基金弥补收支差额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三十一、事业单位结余分配 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八、上年结转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w w:val="101"/>
                            <w:sz w:val="16"/>
                          </w:rPr>
                          <w:t>    </w:t>
                        </w:r>
                        <w:r>
                          <w:rPr>
                            <w:sz w:val="16"/>
                          </w:rPr>
                          <w:t>其中：转入事业基金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三十二、结转下年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1101"/>
                          <w:rPr>
                            <w:sz w:val="16"/>
                          </w:rPr>
                        </w:pPr>
                        <w:r>
                          <w:rPr>
                            <w:spacing w:val="37"/>
                            <w:sz w:val="16"/>
                          </w:rPr>
                          <w:t>收 入 总 计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3,481.00</w:t>
                        </w:r>
                      </w:p>
                    </w:tc>
                    <w:tc>
                      <w:tcPr>
                        <w:tcW w:w="3350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1102"/>
                          <w:rPr>
                            <w:sz w:val="16"/>
                          </w:rPr>
                        </w:pPr>
                        <w:r>
                          <w:rPr>
                            <w:spacing w:val="38"/>
                            <w:sz w:val="16"/>
                          </w:rPr>
                          <w:t>支 出 总 计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</w:tcPr>
                      <w:p>
                        <w:pPr>
                          <w:pStyle w:val="TableParagraph"/>
                          <w:spacing w:line="201" w:lineRule="exact" w:before="39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3,481.00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"/>
          <w:w w:val="103"/>
          <w:sz w:val="13"/>
        </w:rPr>
        <w:t> </w:t>
      </w:r>
    </w:p>
    <w:p>
      <w:pPr>
        <w:spacing w:after="0"/>
        <w:jc w:val="right"/>
        <w:rPr>
          <w:rFonts w:ascii="SimSun"/>
          <w:sz w:val="13"/>
        </w:rPr>
        <w:sectPr>
          <w:footerReference w:type="default" r:id="rId8"/>
          <w:pgSz w:w="11910" w:h="16840"/>
          <w:pgMar w:footer="0" w:header="0" w:top="320" w:bottom="280" w:left="1140" w:right="1060"/>
        </w:sectPr>
      </w:pPr>
    </w:p>
    <w:tbl>
      <w:tblPr>
        <w:tblW w:w="0" w:type="auto"/>
        <w:jc w:val="left"/>
        <w:tblInd w:w="1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2443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98"/>
      </w:tblGrid>
      <w:tr>
        <w:trPr>
          <w:trHeight w:val="340" w:hRule="atLeast"/>
        </w:trPr>
        <w:tc>
          <w:tcPr>
            <w:tcW w:w="14213" w:type="dxa"/>
            <w:gridSpan w:val="1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9" w:lineRule="exact" w:before="5"/>
              <w:ind w:right="3"/>
              <w:jc w:val="right"/>
              <w:rPr>
                <w:sz w:val="12"/>
              </w:rPr>
            </w:pPr>
            <w:r>
              <w:rPr>
                <w:sz w:val="12"/>
              </w:rPr>
              <w:t>表1-1</w:t>
            </w:r>
          </w:p>
          <w:p>
            <w:pPr>
              <w:pStyle w:val="TableParagraph"/>
              <w:spacing w:line="166" w:lineRule="exact"/>
              <w:ind w:left="6586" w:right="6562"/>
              <w:jc w:val="center"/>
              <w:rPr>
                <w:sz w:val="17"/>
              </w:rPr>
            </w:pPr>
            <w:r>
              <w:rPr>
                <w:sz w:val="17"/>
              </w:rPr>
              <w:t>部门收入总表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C2C3C4"/>
              <w:right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21"/>
              <w:rPr>
                <w:sz w:val="10"/>
              </w:rPr>
            </w:pPr>
            <w:r>
              <w:rPr>
                <w:w w:val="98"/>
                <w:sz w:val="10"/>
              </w:rPr>
              <w:t> </w:t>
            </w:r>
          </w:p>
        </w:tc>
      </w:tr>
      <w:tr>
        <w:trPr>
          <w:trHeight w:val="167" w:hRule="atLeast"/>
        </w:trPr>
        <w:tc>
          <w:tcPr>
            <w:tcW w:w="3444" w:type="dxa"/>
            <w:gridSpan w:val="2"/>
            <w:tcBorders>
              <w:top w:val="nil"/>
              <w:left w:val="nil"/>
              <w:bottom w:val="single" w:sz="4" w:space="0" w:color="C2C3C4"/>
            </w:tcBorders>
          </w:tcPr>
          <w:p>
            <w:pPr>
              <w:pStyle w:val="TableParagraph"/>
              <w:spacing w:line="133" w:lineRule="exact" w:before="15"/>
              <w:ind w:left="28"/>
              <w:rPr>
                <w:sz w:val="12"/>
              </w:rPr>
            </w:pPr>
            <w:r>
              <w:rPr>
                <w:sz w:val="12"/>
              </w:rPr>
              <w:t>部门：成都市温江区万春学校</w:t>
            </w: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9" w:type="dxa"/>
            <w:tcBorders>
              <w:top w:val="nil"/>
              <w:bottom w:val="single" w:sz="4" w:space="0" w:color="C2C3C4"/>
            </w:tcBorders>
          </w:tcPr>
          <w:p>
            <w:pPr>
              <w:pStyle w:val="TableParagraph"/>
              <w:spacing w:line="133" w:lineRule="exact" w:before="15"/>
              <w:ind w:left="78"/>
              <w:rPr>
                <w:sz w:val="12"/>
              </w:rPr>
            </w:pPr>
            <w:r>
              <w:rPr>
                <w:spacing w:val="-2"/>
                <w:sz w:val="12"/>
              </w:rPr>
              <w:t>金额单位：万元</w:t>
            </w:r>
          </w:p>
        </w:tc>
        <w:tc>
          <w:tcPr>
            <w:tcW w:w="98" w:type="dxa"/>
            <w:vMerge/>
            <w:tcBorders>
              <w:top w:val="nil"/>
              <w:left w:val="single" w:sz="4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3444" w:type="dxa"/>
            <w:gridSpan w:val="2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spacing w:before="31"/>
              <w:ind w:left="1465" w:right="1449"/>
              <w:jc w:val="center"/>
              <w:rPr>
                <w:sz w:val="12"/>
              </w:rPr>
            </w:pPr>
            <w:r>
              <w:rPr>
                <w:sz w:val="12"/>
              </w:rPr>
              <w:t>项    目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52" w:right="337"/>
              <w:jc w:val="center"/>
              <w:rPr>
                <w:sz w:val="12"/>
              </w:rPr>
            </w:pPr>
            <w:r>
              <w:rPr>
                <w:sz w:val="12"/>
              </w:rPr>
              <w:t>合计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52"/>
              <w:rPr>
                <w:sz w:val="12"/>
              </w:rPr>
            </w:pPr>
            <w:r>
              <w:rPr>
                <w:sz w:val="12"/>
              </w:rPr>
              <w:t>上年结转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311" w:right="52" w:hanging="240"/>
              <w:rPr>
                <w:sz w:val="12"/>
              </w:rPr>
            </w:pPr>
            <w:r>
              <w:rPr>
                <w:spacing w:val="-1"/>
                <w:sz w:val="12"/>
              </w:rPr>
              <w:t>一般公共预算拨</w:t>
            </w:r>
            <w:r>
              <w:rPr>
                <w:sz w:val="12"/>
              </w:rPr>
              <w:t>款收入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252" w:right="52" w:hanging="181"/>
              <w:rPr>
                <w:sz w:val="12"/>
              </w:rPr>
            </w:pPr>
            <w:r>
              <w:rPr>
                <w:spacing w:val="-1"/>
                <w:sz w:val="12"/>
              </w:rPr>
              <w:t>政府性基金预算</w:t>
            </w:r>
            <w:r>
              <w:rPr>
                <w:sz w:val="12"/>
              </w:rPr>
              <w:t>拨款收入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92" w:right="51" w:hanging="120"/>
              <w:rPr>
                <w:sz w:val="12"/>
              </w:rPr>
            </w:pPr>
            <w:r>
              <w:rPr>
                <w:spacing w:val="-1"/>
                <w:sz w:val="12"/>
              </w:rPr>
              <w:t>国有资本经营预</w:t>
            </w:r>
            <w:r>
              <w:rPr>
                <w:sz w:val="12"/>
              </w:rPr>
              <w:t>算拨款收入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52"/>
              <w:rPr>
                <w:sz w:val="12"/>
              </w:rPr>
            </w:pPr>
            <w:r>
              <w:rPr>
                <w:sz w:val="12"/>
              </w:rPr>
              <w:t>事业收入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432" w:right="51" w:hanging="361"/>
              <w:rPr>
                <w:sz w:val="12"/>
              </w:rPr>
            </w:pPr>
            <w:r>
              <w:rPr>
                <w:sz w:val="12"/>
              </w:rPr>
              <w:t>事业单位经营收入 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253"/>
              <w:rPr>
                <w:sz w:val="12"/>
              </w:rPr>
            </w:pPr>
            <w:r>
              <w:rPr>
                <w:sz w:val="12"/>
              </w:rPr>
              <w:t>其他收入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33"/>
              <w:rPr>
                <w:sz w:val="12"/>
              </w:rPr>
            </w:pPr>
            <w:r>
              <w:rPr>
                <w:sz w:val="12"/>
              </w:rPr>
              <w:t>上级补助收入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433" w:right="51" w:hanging="361"/>
              <w:rPr>
                <w:sz w:val="12"/>
              </w:rPr>
            </w:pPr>
            <w:r>
              <w:rPr>
                <w:spacing w:val="-1"/>
                <w:sz w:val="12"/>
              </w:rPr>
              <w:t>附属单位上缴收</w:t>
            </w:r>
            <w:r>
              <w:rPr>
                <w:sz w:val="12"/>
              </w:rPr>
              <w:t>入</w:t>
            </w:r>
          </w:p>
        </w:tc>
        <w:tc>
          <w:tcPr>
            <w:tcW w:w="97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253" w:right="50" w:hanging="180"/>
              <w:rPr>
                <w:sz w:val="12"/>
              </w:rPr>
            </w:pPr>
            <w:r>
              <w:rPr>
                <w:spacing w:val="-1"/>
                <w:sz w:val="12"/>
              </w:rPr>
              <w:t>用事业基金弥补</w:t>
            </w:r>
            <w:r>
              <w:rPr>
                <w:sz w:val="12"/>
              </w:rPr>
              <w:t>收支差额</w:t>
            </w:r>
          </w:p>
        </w:tc>
        <w:tc>
          <w:tcPr>
            <w:tcW w:w="98" w:type="dxa"/>
            <w:vMerge/>
            <w:tcBorders>
              <w:top w:val="nil"/>
              <w:left w:val="single" w:sz="4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001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单位代码</w:t>
            </w:r>
          </w:p>
        </w:tc>
        <w:tc>
          <w:tcPr>
            <w:tcW w:w="2443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43"/>
              <w:rPr>
                <w:sz w:val="12"/>
              </w:rPr>
            </w:pPr>
            <w:r>
              <w:rPr>
                <w:spacing w:val="-1"/>
                <w:sz w:val="12"/>
              </w:rPr>
              <w:t>单位名称</w:t>
            </w:r>
            <w:r>
              <w:rPr>
                <w:sz w:val="12"/>
              </w:rPr>
              <w:t>（科目）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left w:val="single" w:sz="4" w:space="0" w:color="C2C3C4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1001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left w:val="single" w:sz="4" w:space="0" w:color="C2C3C4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00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8" w:lineRule="exact" w:before="24"/>
              <w:ind w:left="965" w:right="947"/>
              <w:jc w:val="center"/>
              <w:rPr>
                <w:sz w:val="12"/>
              </w:rPr>
            </w:pPr>
            <w:r>
              <w:rPr>
                <w:sz w:val="12"/>
              </w:rPr>
              <w:t>合    计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8" w:lineRule="exact" w:before="24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8" w:lineRule="exact" w:before="24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100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3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5" w:lineRule="exact" w:before="26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5" w:lineRule="exact" w:before="26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100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7" w:lineRule="exact" w:before="24"/>
              <w:ind w:left="23"/>
              <w:rPr>
                <w:sz w:val="12"/>
              </w:rPr>
            </w:pPr>
            <w:r>
              <w:rPr>
                <w:sz w:val="12"/>
              </w:rPr>
              <w:t>605629</w:t>
            </w:r>
          </w:p>
        </w:tc>
        <w:tc>
          <w:tcPr>
            <w:tcW w:w="2443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7" w:lineRule="exact" w:before="24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成都市温江区万春学校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7" w:lineRule="exact" w:before="24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spacing w:line="147" w:lineRule="exact" w:before="2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3,481.00</w:t>
            </w: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pgSz w:w="16840" w:h="11910" w:orient="landscape"/>
          <w:pgMar w:footer="0" w:header="0" w:top="380" w:bottom="280" w:left="1120" w:right="1020"/>
        </w:sectPr>
      </w:pPr>
    </w:p>
    <w:p>
      <w:pPr>
        <w:pStyle w:val="BodyText"/>
        <w:rPr>
          <w:rFonts w:ascii="SimSun"/>
          <w:sz w:val="20"/>
        </w:rPr>
      </w:pPr>
      <w:r>
        <w:rPr/>
        <w:pict>
          <v:group style="position:absolute;margin-left:61.080002pt;margin-top:19.200001pt;width:725.9pt;height:278.2pt;mso-position-horizontal-relative:page;mso-position-vertical-relative:page;z-index:-20314624" coordorigin="1222,384" coordsize="14518,5564">
            <v:shape style="position:absolute;left:1233;top:1156;width:14369;height:953" coordorigin="1234,1157" coordsize="14369,953" path="m15602,1157l15602,1157,1234,1157,1234,1474,1234,1476,1234,1790,1234,1793,1234,2110,1766,2110,15602,2110,15602,1157xe" filled="true" fillcolor="#eef1f7" stroked="false">
              <v:path arrowok="t"/>
              <v:fill type="solid"/>
            </v:shape>
            <v:shape style="position:absolute;left:1236;top:1144;width:14367;height:332" coordorigin="1236,1145" coordsize="14367,332" path="m7874,1462l1236,1462,1236,1476,7874,1476,7874,1462xm15602,1145l1236,1145,1236,1159,15602,1159,15602,1145xe" filled="true" fillcolor="#c2c3c4" stroked="false">
              <v:path arrowok="t"/>
              <v:fill type="solid"/>
            </v:shape>
            <v:rect style="position:absolute;left:15588;top:1461;width:152;height:15" filled="true" fillcolor="#ffffff" stroked="false">
              <v:fill type="solid"/>
            </v:rect>
            <v:rect style="position:absolute;left:1236;top:1778;width:1599;height:15" filled="true" fillcolor="#c2c3c4" stroked="false">
              <v:fill type="solid"/>
            </v:rect>
            <v:rect style="position:absolute;left:15588;top:1778;width:152;height:15" filled="true" fillcolor="#ffffff" stroked="false">
              <v:fill type="solid"/>
            </v:rect>
            <v:shape style="position:absolute;left:1221;top:1159;width:14381;height:4788" coordorigin="1222,1159" coordsize="14381,4788" path="m15602,2095l4298,2095,4298,1462,4284,1462,4284,5933,2834,5933,2834,5652,4284,5652,4284,5638,2834,5638,2834,5357,4284,5357,4284,5342,2834,5342,2834,5062,4284,5062,4284,5047,2834,5047,2834,4766,4284,4766,4284,4752,2834,4752,2834,4471,4284,4471,4284,4457,2834,4457,2834,4176,4284,4176,4284,4162,2834,4162,2834,3881,4284,3881,4284,3866,2834,3866,2834,3586,4284,3586,4284,3571,2834,3571,2834,3290,4284,3290,4284,3276,2834,3276,2834,2995,4284,2995,4284,2981,2834,2981,2834,2700,4284,2700,4284,2686,2834,2686,2834,2405,4284,2405,4284,2390,2834,2390,2834,2110,4284,2110,4284,2095,2834,2095,2834,1462,2820,1462,2820,5933,2302,5933,2302,5652,2820,5652,2820,5638,2302,5638,2302,5357,2820,5357,2820,5342,2302,5342,2302,5062,2820,5062,2820,5047,2302,5047,2302,4766,2820,4766,2820,4752,2302,4752,2302,4471,2820,4471,2820,4457,2302,4457,2302,4176,2820,4176,2820,4162,2302,4162,2302,3881,2820,3881,2820,3866,2302,3866,2302,3586,2820,3586,2820,3571,2302,3571,2302,3290,2820,3290,2820,3276,2302,3276,2302,2995,2820,2995,2820,2981,2302,2981,2302,2700,2820,2700,2820,2686,2302,2686,2302,2405,2820,2405,2820,2390,2302,2390,2302,2110,2820,2110,2820,2095,2302,2095,2302,1778,2287,1778,2287,5933,1769,5933,1769,5652,2287,5652,2287,5638,1769,5638,1769,5357,2287,5357,2287,5342,1769,5342,1769,5062,2287,5062,2287,5047,1769,5047,1769,4766,2287,4766,2287,4752,1769,4752,1769,4471,2287,4471,2287,4457,1769,4457,1769,4176,2287,4176,2287,4162,1769,4162,1769,3881,2287,3881,2287,3866,1769,3866,1769,3586,2287,3586,2287,3571,1769,3571,1769,3290,2287,3290,2287,3276,1769,3276,1769,2995,2287,2995,2287,2981,1769,2981,1769,2700,2287,2700,2287,2686,1769,2686,1769,2405,2287,2405,2287,2390,1769,2390,1769,2110,2287,2110,2287,2095,1769,2095,1769,1778,1754,1778,1754,5933,1236,5933,1236,5652,1754,5652,1754,5638,1236,5638,1236,5357,1754,5357,1754,5342,1236,5342,1236,5062,1754,5062,1754,5047,1236,5047,1236,4766,1754,4766,1754,4752,1236,4752,1236,4471,1754,4471,1754,4457,1236,4457,1236,4176,1754,4176,1754,4162,1236,4162,1236,3881,1754,3881,1754,3866,1236,3866,1236,3586,1754,3586,1754,3571,1236,3571,1236,3290,1754,3290,1754,3276,1236,3276,1236,2995,1754,2995,1754,2981,1236,2981,1236,2700,1754,2700,1754,2686,1236,2686,1236,2405,1754,2405,1754,2390,1236,2390,1236,2110,1754,2110,1754,2095,1236,2095,1236,1159,1222,1159,1222,5947,1236,5947,15602,5947,15602,5933,4298,5933,4298,5652,15602,5652,15602,5638,4298,5638,4298,5357,15602,5357,15602,5342,4298,5342,4298,5062,15602,5062,15602,5047,4298,5047,4298,4766,15602,4766,15602,4752,4298,4752,4298,4471,15602,4471,15602,4457,4298,4457,4298,4176,15602,4176,15602,4162,4298,4162,4298,3881,15602,3881,15602,3866,4298,3866,4298,3586,15602,3586,15602,3571,4298,3571,4298,3290,15602,3290,15602,3276,4298,3276,4298,2995,15602,2995,15602,2981,4298,2981,4298,2700,15602,2700,15602,2686,4298,2686,4298,2405,15602,2405,15602,2390,4298,2390,4298,2110,15602,2110,15602,2095xe" filled="true" fillcolor="#c2c3c4" stroked="false">
              <v:path arrowok="t"/>
              <v:fill type="solid"/>
            </v:shape>
            <v:rect style="position:absolute;left:7860;top:890;width:15;height:269" filled="true" fillcolor="#ffffff" stroked="false">
              <v:fill type="solid"/>
            </v:rect>
            <v:rect style="position:absolute;left:7860;top:1159;width:15;height:4788" filled="true" fillcolor="#c2c3c4" stroked="false">
              <v:fill type="solid"/>
            </v:rect>
            <v:rect style="position:absolute;left:9292;top:890;width:15;height:269" filled="true" fillcolor="#ffffff" stroked="false">
              <v:fill type="solid"/>
            </v:rect>
            <v:rect style="position:absolute;left:9292;top:1159;width:15;height:4788" filled="true" fillcolor="#c2c3c4" stroked="false">
              <v:fill type="solid"/>
            </v:rect>
            <v:rect style="position:absolute;left:10725;top:890;width:15;height:269" filled="true" fillcolor="#ffffff" stroked="false">
              <v:fill type="solid"/>
            </v:rect>
            <v:rect style="position:absolute;left:10725;top:1159;width:15;height:4788" filled="true" fillcolor="#c2c3c4" stroked="false">
              <v:fill type="solid"/>
            </v:rect>
            <v:rect style="position:absolute;left:12158;top:890;width:15;height:269" filled="true" fillcolor="#ffffff" stroked="false">
              <v:fill type="solid"/>
            </v:rect>
            <v:rect style="position:absolute;left:12158;top:1159;width:15;height:4788" filled="true" fillcolor="#c2c3c4" stroked="false">
              <v:fill type="solid"/>
            </v:rect>
            <v:rect style="position:absolute;left:13591;top:890;width:15;height:269" filled="true" fillcolor="#ffffff" stroked="false">
              <v:fill type="solid"/>
            </v:rect>
            <v:rect style="position:absolute;left:13591;top:1159;width:15;height:4788" filled="true" fillcolor="#c2c3c4" stroked="false">
              <v:fill type="solid"/>
            </v:rect>
            <v:rect style="position:absolute;left:15588;top:384;width:15;height:776" filled="true" fillcolor="#ffffff" stroked="false">
              <v:fill type="solid"/>
            </v:rect>
            <v:rect style="position:absolute;left:15588;top:1159;width:15;height:4788" filled="true" fillcolor="#c2c3c4" stroked="false">
              <v:fill type="solid"/>
            </v:rect>
            <v:shape style="position:absolute;left:15136;top:419;width:456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7"/>
                      </w:rPr>
                      <w:t>表1-2</w:t>
                    </w:r>
                  </w:p>
                </w:txbxContent>
              </v:textbox>
              <w10:wrap type="none"/>
            </v:shape>
            <v:shape style="position:absolute;left:7656;top:636;width:1563;height:255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25"/>
                      </w:rPr>
                    </w:pPr>
                    <w:r>
                      <w:rPr>
                        <w:rFonts w:ascii="SimSun" w:eastAsia="SimSun" w:hint="eastAsia"/>
                        <w:sz w:val="25"/>
                      </w:rPr>
                      <w:t>部门支出总表</w:t>
                    </w:r>
                  </w:p>
                </w:txbxContent>
              </v:textbox>
              <w10:wrap type="none"/>
            </v:shape>
            <v:shape style="position:absolute;left:15621;top:686;width:92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SimSun"/>
                        <w:sz w:val="14"/>
                      </w:rPr>
                    </w:pPr>
                    <w:r>
                      <w:rPr>
                        <w:rFonts w:ascii="SimSun"/>
                        <w:w w:val="102"/>
                        <w:sz w:val="1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264;top:947;width:13972;height:461" type="#_x0000_t202" filled="false" stroked="false">
              <v:textbox inset="0,0,0,0">
                <w:txbxContent>
                  <w:p>
                    <w:pPr>
                      <w:tabs>
                        <w:tab w:pos="12726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7"/>
                      </w:rPr>
                      <w:t>部门：成都市温江区万春学校</w:t>
                      <w:tab/>
                    </w:r>
                    <w:r>
                      <w:rPr>
                        <w:rFonts w:ascii="SimSun" w:eastAsia="SimSun" w:hint="eastAsia"/>
                        <w:sz w:val="17"/>
                      </w:rPr>
                      <w:t>金额单位：万元</w:t>
                    </w:r>
                  </w:p>
                  <w:p>
                    <w:pPr>
                      <w:spacing w:line="195" w:lineRule="exact" w:before="68"/>
                      <w:ind w:left="2934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pacing w:val="16"/>
                        <w:w w:val="105"/>
                        <w:sz w:val="17"/>
                      </w:rPr>
                      <w:t>项   目</w:t>
                    </w:r>
                  </w:p>
                </w:txbxContent>
              </v:textbox>
              <w10:wrap type="none"/>
            </v:shape>
            <v:shape style="position:absolute;left:1682;top:1550;width:730;height:492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18" w:firstLine="0"/>
                      <w:jc w:val="center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z w:val="17"/>
                      </w:rPr>
                      <w:t>科目编码</w:t>
                    </w:r>
                  </w:p>
                  <w:p>
                    <w:pPr>
                      <w:spacing w:line="195" w:lineRule="exact" w:before="99"/>
                      <w:ind w:left="0" w:right="23" w:firstLine="0"/>
                      <w:jc w:val="center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2"/>
                        <w:sz w:val="17"/>
                      </w:rPr>
                      <w:t>款</w:t>
                    </w:r>
                  </w:p>
                </w:txbxContent>
              </v:textbox>
              <w10:wrap type="none"/>
            </v:shape>
            <v:shape style="position:absolute;left:8414;top:1550;width:373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7"/>
                      </w:rPr>
                      <w:t>合计</w:t>
                    </w:r>
                  </w:p>
                </w:txbxContent>
              </v:textbox>
              <w10:wrap type="none"/>
            </v:shape>
            <v:shape style="position:absolute;left:9672;top:1550;width:730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z w:val="17"/>
                      </w:rPr>
                      <w:t>基本支出</w:t>
                    </w:r>
                  </w:p>
                </w:txbxContent>
              </v:textbox>
              <w10:wrap type="none"/>
            </v:shape>
            <v:shape style="position:absolute;left:11105;top:1550;width:730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z w:val="17"/>
                      </w:rPr>
                      <w:t>项目支出</w:t>
                    </w:r>
                  </w:p>
                </w:txbxContent>
              </v:textbox>
              <w10:wrap type="none"/>
            </v:shape>
            <v:shape style="position:absolute;left:12359;top:1550;width:3074;height:175" type="#_x0000_t202" filled="false" stroked="false">
              <v:textbox inset="0,0,0,0">
                <w:txbxContent>
                  <w:p>
                    <w:pPr>
                      <w:tabs>
                        <w:tab w:pos="1451" w:val="left" w:leader="none"/>
                      </w:tabs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7"/>
                      </w:rPr>
                      <w:t>上缴上级支出</w:t>
                      <w:tab/>
                    </w:r>
                    <w:r>
                      <w:rPr>
                        <w:rFonts w:ascii="SimSun" w:eastAsia="SimSun" w:hint="eastAsia"/>
                        <w:sz w:val="17"/>
                      </w:rPr>
                      <w:t>对附属单位补助支出</w:t>
                    </w:r>
                  </w:p>
                </w:txbxContent>
              </v:textbox>
              <w10:wrap type="none"/>
            </v:shape>
            <v:shape style="position:absolute;left:3213;top:1708;width:730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z w:val="17"/>
                      </w:rPr>
                      <w:t>单位代码</w:t>
                    </w:r>
                  </w:p>
                </w:txbxContent>
              </v:textbox>
              <w10:wrap type="none"/>
            </v:shape>
            <v:shape style="position:absolute;left:5380;top:1708;width:1429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sz w:val="17"/>
                      </w:rPr>
                      <w:t>单位名称（科目）</w:t>
                    </w:r>
                  </w:p>
                </w:txbxContent>
              </v:textbox>
              <w10:wrap type="none"/>
            </v:shape>
            <v:shape style="position:absolute;left:1413;top:1866;width:195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2"/>
                        <w:sz w:val="17"/>
                      </w:rPr>
                      <w:t>类</w:t>
                    </w:r>
                  </w:p>
                </w:txbxContent>
              </v:textbox>
              <w10:wrap type="none"/>
            </v:shape>
            <v:shape style="position:absolute;left:2479;top:1866;width:195;height:175" type="#_x0000_t202" filled="false" stroked="false">
              <v:textbox inset="0,0,0,0">
                <w:txbxContent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7"/>
                      </w:rPr>
                    </w:pPr>
                    <w:r>
                      <w:rPr>
                        <w:rFonts w:ascii="SimSun" w:eastAsia="SimSun" w:hint="eastAsia"/>
                        <w:w w:val="102"/>
                        <w:sz w:val="17"/>
                      </w:rPr>
                      <w:t>项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8"/>
        <w:rPr>
          <w:rFonts w:ascii="SimSun"/>
          <w:sz w:val="1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533"/>
        <w:gridCol w:w="533"/>
        <w:gridCol w:w="1464"/>
        <w:gridCol w:w="3576"/>
        <w:gridCol w:w="1433"/>
        <w:gridCol w:w="1433"/>
        <w:gridCol w:w="1461"/>
      </w:tblGrid>
      <w:tr>
        <w:trPr>
          <w:trHeight w:val="223" w:hRule="atLeast"/>
        </w:trPr>
        <w:tc>
          <w:tcPr>
            <w:tcW w:w="8072" w:type="dxa"/>
            <w:gridSpan w:val="6"/>
          </w:tcPr>
          <w:p>
            <w:pPr>
              <w:pStyle w:val="TableParagraph"/>
              <w:tabs>
                <w:tab w:pos="7334" w:val="left" w:leader="none"/>
              </w:tabs>
              <w:spacing w:line="198" w:lineRule="exact"/>
              <w:ind w:left="4502"/>
              <w:rPr>
                <w:sz w:val="17"/>
              </w:rPr>
            </w:pPr>
            <w:r>
              <w:rPr>
                <w:w w:val="105"/>
                <w:sz w:val="17"/>
              </w:rPr>
              <w:t>合  </w:t>
            </w:r>
            <w:r>
              <w:rPr>
                <w:spacing w:val="8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计</w:t>
              <w:tab/>
              <w:t>3,481.00</w:t>
            </w:r>
          </w:p>
        </w:tc>
        <w:tc>
          <w:tcPr>
            <w:tcW w:w="1433" w:type="dxa"/>
          </w:tcPr>
          <w:p>
            <w:pPr>
              <w:pStyle w:val="TableParagraph"/>
              <w:spacing w:line="198" w:lineRule="exact"/>
              <w:ind w:right="2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2,643.23</w:t>
            </w:r>
          </w:p>
        </w:tc>
        <w:tc>
          <w:tcPr>
            <w:tcW w:w="1461" w:type="dxa"/>
          </w:tcPr>
          <w:p>
            <w:pPr>
              <w:pStyle w:val="TableParagraph"/>
              <w:spacing w:line="198" w:lineRule="exact"/>
              <w:ind w:right="5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837.77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3,481.00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2,643.23</w:t>
            </w: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837.77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sz w:val="17"/>
              </w:rPr>
              <w:t>成都市温江区万春学校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3,481.00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2,643.23</w:t>
            </w: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837.77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小学教育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1,194.35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1,189.35</w:t>
            </w: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5.00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sz w:val="17"/>
              </w:rPr>
              <w:t> 其他教育费附加安排的支出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132.01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132.01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其他教育支出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691.72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691.72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初中教育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792.08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792.08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事业单位医疗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85.69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85.69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sz w:val="17"/>
              </w:rPr>
              <w:t> 其他教育管理事务支出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9.04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spacing w:before="51"/>
              <w:ind w:right="4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9.04</w:t>
            </w: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99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其他特殊教育支出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5.15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5.15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221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 住房公积金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199.60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199.60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sz w:val="17"/>
              </w:rPr>
              <w:t> 机关事业单位职业年金缴费支出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124.13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124.13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533" w:type="dxa"/>
          </w:tcPr>
          <w:p>
            <w:pPr>
              <w:pStyle w:val="TableParagraph"/>
              <w:spacing w:before="5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1464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605629</w:t>
            </w:r>
          </w:p>
        </w:tc>
        <w:tc>
          <w:tcPr>
            <w:tcW w:w="3576" w:type="dxa"/>
          </w:tcPr>
          <w:p>
            <w:pPr>
              <w:pStyle w:val="TableParagraph"/>
              <w:spacing w:before="51"/>
              <w:ind w:left="35"/>
              <w:rPr>
                <w:sz w:val="17"/>
              </w:rPr>
            </w:pPr>
            <w:r>
              <w:rPr>
                <w:sz w:val="17"/>
              </w:rPr>
              <w:t> 机关事业单位基本养老保险缴费支出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247.23</w:t>
            </w:r>
          </w:p>
        </w:tc>
        <w:tc>
          <w:tcPr>
            <w:tcW w:w="1433" w:type="dxa"/>
          </w:tcPr>
          <w:p>
            <w:pPr>
              <w:pStyle w:val="TableParagraph"/>
              <w:spacing w:before="51"/>
              <w:ind w:right="2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247.23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0"/>
          <w:pgSz w:w="16840" w:h="11910" w:orient="landscape"/>
          <w:pgMar w:footer="0" w:header="0" w:top="380" w:bottom="280" w:left="1120" w:right="1020"/>
        </w:sectPr>
      </w:pPr>
    </w:p>
    <w:p>
      <w:pPr>
        <w:spacing w:before="74"/>
        <w:ind w:left="0" w:right="145" w:firstLine="0"/>
        <w:jc w:val="right"/>
        <w:rPr>
          <w:rFonts w:ascii="SimSun"/>
          <w:sz w:val="15"/>
        </w:rPr>
      </w:pPr>
      <w:r>
        <w:rPr/>
        <w:pict>
          <v:shape style="position:absolute;margin-left:62.459999pt;margin-top:19.080pt;width:716.6pt;height:543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3"/>
                    <w:gridCol w:w="1560"/>
                    <w:gridCol w:w="3163"/>
                    <w:gridCol w:w="1560"/>
                    <w:gridCol w:w="1560"/>
                    <w:gridCol w:w="1560"/>
                    <w:gridCol w:w="1740"/>
                  </w:tblGrid>
                  <w:tr>
                    <w:trPr>
                      <w:trHeight w:val="549" w:hRule="atLeast"/>
                    </w:trPr>
                    <w:tc>
                      <w:tcPr>
                        <w:tcW w:w="14306" w:type="dxa"/>
                        <w:gridSpan w:val="7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2" w:lineRule="exact" w:before="12"/>
                          <w:ind w:right="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表2</w:t>
                        </w:r>
                      </w:p>
                      <w:p>
                        <w:pPr>
                          <w:pStyle w:val="TableParagraph"/>
                          <w:spacing w:line="325" w:lineRule="exact"/>
                          <w:ind w:left="5798" w:right="5757"/>
                          <w:jc w:val="center"/>
                          <w:rPr>
                            <w:rFonts w:ascii="Microsoft JhengHei" w:eastAsia="Microsoft JhengHei" w:hint="eastAsia"/>
                            <w:b/>
                            <w:sz w:val="27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7"/>
                          </w:rPr>
                          <w:t>财政拨款收支预算总表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723" w:type="dxa"/>
                        <w:gridSpan w:val="2"/>
                        <w:tcBorders>
                          <w:top w:val="nil"/>
                          <w:left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18" w:lineRule="exact" w:before="36"/>
                          <w:ind w:left="4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部门：成都市温江区万春学校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nil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18" w:lineRule="exact" w:before="36"/>
                          <w:ind w:left="133" w:right="1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金额单位：万元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723" w:type="dxa"/>
                        <w:gridSpan w:val="2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1967" w:right="193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收    入</w:t>
                        </w:r>
                      </w:p>
                    </w:tc>
                    <w:tc>
                      <w:tcPr>
                        <w:tcW w:w="9583" w:type="dxa"/>
                        <w:gridSpan w:val="5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4395" w:right="43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支    出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1187" w:right="115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项    目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498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预算数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1187" w:right="115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项    目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575" w:right="54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合计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210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一般公共预算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115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政府性基金预算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  <w:shd w:val="clear" w:color="auto" w:fill="EEF1F7"/>
                      </w:tcPr>
                      <w:p>
                        <w:pPr>
                          <w:pStyle w:val="TableParagraph"/>
                          <w:spacing w:before="54"/>
                          <w:ind w:left="134" w:right="10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国有资本经营预算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一、本年收入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3,481.00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一、本年支出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3,481.00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3,481.00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一般公共预算拨款收入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3,481.00</w:t>
                        </w: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一般公共服务支出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政府性基金预算拨款收入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外交支出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国有资本经营预算拨款收入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国防支出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二、上年结转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公共安全支出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一般公共预算拨款收入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教育支出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2,824.35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2,824.35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政府性基金预算拨款收入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科学技术支出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国有资本经营预算拨款收入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文化旅游体育与传媒支出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社会保障和就业支出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371.35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371.35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社会保险基金支出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卫生健康支出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85.69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85.69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节能环保支出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城乡社区支出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农林水支出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交通运输支出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资源勘探工业信息等支出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商业服务业等支出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金融支出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援助其他地区支出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自然资源海洋气象等支出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住房保障支出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199.60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right="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199.60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粮油物资储备支出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国有资本经营预算支出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灾害防治及应急管理支出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其他支出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39" w:lineRule="exact" w:before="4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债务还本支出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债务付息支出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债务发行费用支出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63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240" w:lineRule="exact" w:before="4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 抗疫特别国债安排的支出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4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"/>
          <w:w w:val="103"/>
          <w:sz w:val="15"/>
        </w:rPr>
        <w:t> </w:t>
      </w:r>
    </w:p>
    <w:p>
      <w:pPr>
        <w:spacing w:after="0"/>
        <w:jc w:val="right"/>
        <w:rPr>
          <w:rFonts w:ascii="SimSun"/>
          <w:sz w:val="15"/>
        </w:rPr>
        <w:sectPr>
          <w:footerReference w:type="default" r:id="rId11"/>
          <w:pgSz w:w="16840" w:h="11910" w:orient="landscape"/>
          <w:pgMar w:footer="0" w:header="0" w:top="340" w:bottom="280" w:left="1120" w:right="1020"/>
        </w:sectPr>
      </w:pPr>
    </w:p>
    <w:tbl>
      <w:tblPr>
        <w:tblW w:w="0" w:type="auto"/>
        <w:jc w:val="left"/>
        <w:tblInd w:w="20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209"/>
        <w:gridCol w:w="456"/>
        <w:gridCol w:w="1404"/>
        <w:gridCol w:w="353"/>
        <w:gridCol w:w="353"/>
        <w:gridCol w:w="353"/>
        <w:gridCol w:w="353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>
        <w:trPr>
          <w:trHeight w:val="196" w:hRule="atLeast"/>
        </w:trPr>
        <w:tc>
          <w:tcPr>
            <w:tcW w:w="14220" w:type="dxa"/>
            <w:gridSpan w:val="38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right="25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表2-1</w:t>
            </w:r>
          </w:p>
          <w:p>
            <w:pPr>
              <w:pStyle w:val="TableParagraph"/>
              <w:spacing w:line="84" w:lineRule="exact" w:before="6"/>
              <w:ind w:left="6143" w:right="615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财政拨款支出预算表 （</w:t>
            </w:r>
            <w:r>
              <w:rPr>
                <w:spacing w:val="-1"/>
                <w:w w:val="105"/>
                <w:sz w:val="9"/>
              </w:rPr>
              <w:t>部门经济分类科目 </w:t>
            </w:r>
            <w:r>
              <w:rPr>
                <w:w w:val="105"/>
                <w:sz w:val="9"/>
              </w:rPr>
              <w:t>）</w:t>
            </w:r>
          </w:p>
        </w:tc>
      </w:tr>
      <w:tr>
        <w:trPr>
          <w:trHeight w:val="100" w:hRule="atLeast"/>
        </w:trPr>
        <w:tc>
          <w:tcPr>
            <w:tcW w:w="2278" w:type="dxa"/>
            <w:gridSpan w:val="4"/>
            <w:tcBorders>
              <w:top w:val="nil"/>
              <w:left w:val="nil"/>
              <w:bottom w:val="single" w:sz="2" w:space="0" w:color="C0C0C0"/>
            </w:tcBorders>
          </w:tcPr>
          <w:p>
            <w:pPr>
              <w:pStyle w:val="TableParagraph"/>
              <w:spacing w:line="61" w:lineRule="exact" w:before="19"/>
              <w:ind w:left="16"/>
              <w:rPr>
                <w:sz w:val="6"/>
              </w:rPr>
            </w:pPr>
            <w:r>
              <w:rPr>
                <w:w w:val="105"/>
                <w:sz w:val="6"/>
              </w:rPr>
              <w:t>部门：成都市温江区万春学校</w:t>
            </w:r>
          </w:p>
        </w:tc>
        <w:tc>
          <w:tcPr>
            <w:tcW w:w="353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3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3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3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" w:type="dxa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2" w:type="dxa"/>
            <w:gridSpan w:val="2"/>
            <w:tcBorders>
              <w:top w:val="nil"/>
              <w:bottom w:val="single" w:sz="2" w:space="0" w:color="C0C0C0"/>
            </w:tcBorders>
          </w:tcPr>
          <w:p>
            <w:pPr>
              <w:pStyle w:val="TableParagraph"/>
              <w:spacing w:line="61" w:lineRule="exact" w:before="19"/>
              <w:ind w:left="193"/>
              <w:rPr>
                <w:sz w:val="6"/>
              </w:rPr>
            </w:pPr>
            <w:r>
              <w:rPr>
                <w:w w:val="105"/>
                <w:sz w:val="6"/>
              </w:rPr>
              <w:t>金额单位：万元</w:t>
            </w:r>
          </w:p>
        </w:tc>
      </w:tr>
      <w:tr>
        <w:trPr>
          <w:trHeight w:val="119" w:hRule="atLeast"/>
        </w:trPr>
        <w:tc>
          <w:tcPr>
            <w:tcW w:w="2278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86" w:right="98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项    目</w:t>
            </w:r>
          </w:p>
        </w:tc>
        <w:tc>
          <w:tcPr>
            <w:tcW w:w="353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ind w:left="110"/>
              <w:rPr>
                <w:sz w:val="6"/>
              </w:rPr>
            </w:pPr>
            <w:r>
              <w:rPr>
                <w:w w:val="110"/>
                <w:sz w:val="6"/>
              </w:rPr>
              <w:t>总计</w:t>
            </w:r>
          </w:p>
        </w:tc>
        <w:tc>
          <w:tcPr>
            <w:tcW w:w="3516" w:type="dxa"/>
            <w:gridSpan w:val="10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410" w:right="143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区级当年财政拨款安排</w:t>
            </w:r>
          </w:p>
        </w:tc>
        <w:tc>
          <w:tcPr>
            <w:tcW w:w="3510" w:type="dxa"/>
            <w:gridSpan w:val="10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305" w:right="1341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中央提前通知专项转移支付等</w:t>
            </w:r>
          </w:p>
        </w:tc>
        <w:tc>
          <w:tcPr>
            <w:tcW w:w="4563" w:type="dxa"/>
            <w:gridSpan w:val="1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054" w:right="208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上年结转安排</w:t>
            </w:r>
          </w:p>
        </w:tc>
      </w:tr>
      <w:tr>
        <w:trPr>
          <w:trHeight w:val="119" w:hRule="atLeast"/>
        </w:trPr>
        <w:tc>
          <w:tcPr>
            <w:tcW w:w="41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72"/>
              <w:rPr>
                <w:sz w:val="6"/>
              </w:rPr>
            </w:pPr>
            <w:r>
              <w:rPr>
                <w:w w:val="105"/>
                <w:sz w:val="6"/>
              </w:rPr>
              <w:t>科目编码</w:t>
            </w:r>
          </w:p>
        </w:tc>
        <w:tc>
          <w:tcPr>
            <w:tcW w:w="456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before="12"/>
              <w:rPr>
                <w:sz w:val="6"/>
              </w:rPr>
            </w:pPr>
          </w:p>
          <w:p>
            <w:pPr>
              <w:pStyle w:val="TableParagraph"/>
              <w:ind w:left="90"/>
              <w:rPr>
                <w:sz w:val="6"/>
              </w:rPr>
            </w:pPr>
            <w:r>
              <w:rPr>
                <w:w w:val="105"/>
                <w:sz w:val="6"/>
              </w:rPr>
              <w:t>单位代码</w:t>
            </w:r>
          </w:p>
        </w:tc>
        <w:tc>
          <w:tcPr>
            <w:tcW w:w="1404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before="12"/>
              <w:rPr>
                <w:sz w:val="6"/>
              </w:rPr>
            </w:pPr>
          </w:p>
          <w:p>
            <w:pPr>
              <w:pStyle w:val="TableParagraph"/>
              <w:ind w:left="426"/>
              <w:rPr>
                <w:sz w:val="6"/>
              </w:rPr>
            </w:pPr>
            <w:r>
              <w:rPr>
                <w:spacing w:val="2"/>
                <w:w w:val="105"/>
                <w:sz w:val="6"/>
              </w:rPr>
              <w:t>单位名称</w:t>
            </w:r>
            <w:r>
              <w:rPr>
                <w:w w:val="105"/>
                <w:sz w:val="6"/>
              </w:rPr>
              <w:t>（科目）</w:t>
            </w:r>
          </w:p>
        </w:tc>
        <w:tc>
          <w:tcPr>
            <w:tcW w:w="353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before="12"/>
              <w:rPr>
                <w:sz w:val="6"/>
              </w:rPr>
            </w:pPr>
          </w:p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>合计</w:t>
            </w:r>
          </w:p>
        </w:tc>
        <w:tc>
          <w:tcPr>
            <w:tcW w:w="105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53"/>
              <w:rPr>
                <w:sz w:val="6"/>
              </w:rPr>
            </w:pPr>
            <w:r>
              <w:rPr>
                <w:w w:val="105"/>
                <w:sz w:val="6"/>
              </w:rPr>
              <w:t>一般公共预算拨款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83"/>
              <w:rPr>
                <w:sz w:val="6"/>
              </w:rPr>
            </w:pPr>
            <w:r>
              <w:rPr>
                <w:w w:val="105"/>
                <w:sz w:val="6"/>
              </w:rPr>
              <w:t>政府性基金安排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78"/>
              <w:rPr>
                <w:sz w:val="6"/>
              </w:rPr>
            </w:pPr>
            <w:r>
              <w:rPr>
                <w:w w:val="105"/>
                <w:sz w:val="6"/>
              </w:rPr>
              <w:t>国有资本经营预算安排</w:t>
            </w:r>
          </w:p>
        </w:tc>
        <w:tc>
          <w:tcPr>
            <w:tcW w:w="351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before="12"/>
              <w:rPr>
                <w:sz w:val="6"/>
              </w:rPr>
            </w:pPr>
          </w:p>
          <w:p>
            <w:pPr>
              <w:pStyle w:val="TableParagraph"/>
              <w:ind w:left="102"/>
              <w:rPr>
                <w:sz w:val="6"/>
              </w:rPr>
            </w:pPr>
            <w:r>
              <w:rPr>
                <w:w w:val="110"/>
                <w:sz w:val="6"/>
              </w:rPr>
              <w:t>合计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45"/>
              <w:rPr>
                <w:sz w:val="6"/>
              </w:rPr>
            </w:pPr>
            <w:r>
              <w:rPr>
                <w:w w:val="105"/>
                <w:sz w:val="6"/>
              </w:rPr>
              <w:t>一般公共预算拨款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77"/>
              <w:rPr>
                <w:sz w:val="6"/>
              </w:rPr>
            </w:pPr>
            <w:r>
              <w:rPr>
                <w:w w:val="105"/>
                <w:sz w:val="6"/>
              </w:rPr>
              <w:t>政府性基金安排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72"/>
              <w:rPr>
                <w:sz w:val="6"/>
              </w:rPr>
            </w:pPr>
            <w:r>
              <w:rPr>
                <w:w w:val="105"/>
                <w:sz w:val="6"/>
              </w:rPr>
              <w:t>国有资本经营预算安排</w:t>
            </w:r>
          </w:p>
        </w:tc>
        <w:tc>
          <w:tcPr>
            <w:tcW w:w="351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before="12"/>
              <w:rPr>
                <w:sz w:val="6"/>
              </w:rPr>
            </w:pPr>
          </w:p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10"/>
                <w:sz w:val="6"/>
              </w:rPr>
              <w:t>合计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39"/>
              <w:rPr>
                <w:sz w:val="6"/>
              </w:rPr>
            </w:pPr>
            <w:r>
              <w:rPr>
                <w:w w:val="105"/>
                <w:sz w:val="6"/>
              </w:rPr>
              <w:t>一般公共预算拨款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71"/>
              <w:rPr>
                <w:sz w:val="6"/>
              </w:rPr>
            </w:pPr>
            <w:r>
              <w:rPr>
                <w:w w:val="105"/>
                <w:sz w:val="6"/>
              </w:rPr>
              <w:t>政府性基金安排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66"/>
              <w:rPr>
                <w:sz w:val="6"/>
              </w:rPr>
            </w:pPr>
            <w:r>
              <w:rPr>
                <w:w w:val="105"/>
                <w:sz w:val="6"/>
              </w:rPr>
              <w:t>国有资本经营预算安排</w:t>
            </w:r>
          </w:p>
        </w:tc>
        <w:tc>
          <w:tcPr>
            <w:tcW w:w="105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98"/>
              <w:rPr>
                <w:sz w:val="6"/>
              </w:rPr>
            </w:pPr>
            <w:r>
              <w:rPr>
                <w:w w:val="105"/>
                <w:sz w:val="6"/>
              </w:rPr>
              <w:t>上年应返还额度结转</w:t>
            </w:r>
          </w:p>
        </w:tc>
      </w:tr>
      <w:tr>
        <w:trPr>
          <w:trHeight w:val="119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72"/>
              <w:rPr>
                <w:sz w:val="6"/>
              </w:rPr>
            </w:pPr>
            <w:r>
              <w:rPr>
                <w:w w:val="108"/>
                <w:sz w:val="6"/>
              </w:rPr>
              <w:t>类</w:t>
            </w: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71"/>
              <w:rPr>
                <w:sz w:val="6"/>
              </w:rPr>
            </w:pPr>
            <w:r>
              <w:rPr>
                <w:w w:val="108"/>
                <w:sz w:val="6"/>
              </w:rPr>
              <w:t>款</w:t>
            </w:r>
          </w:p>
        </w:tc>
        <w:tc>
          <w:tcPr>
            <w:tcW w:w="456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09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05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04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4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00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30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8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5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5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5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4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3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2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2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1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90"/>
              <w:rPr>
                <w:sz w:val="6"/>
              </w:rPr>
            </w:pPr>
            <w:r>
              <w:rPr>
                <w:w w:val="110"/>
                <w:sz w:val="6"/>
              </w:rPr>
              <w:t>小计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20"/>
              <w:rPr>
                <w:sz w:val="6"/>
              </w:rPr>
            </w:pPr>
            <w:r>
              <w:rPr>
                <w:w w:val="105"/>
                <w:sz w:val="6"/>
              </w:rPr>
              <w:t>基本支出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F1F7"/>
          </w:tcPr>
          <w:p>
            <w:pPr>
              <w:pStyle w:val="TableParagraph"/>
              <w:spacing w:line="73" w:lineRule="exact" w:before="26"/>
              <w:ind w:left="19"/>
              <w:rPr>
                <w:sz w:val="6"/>
              </w:rPr>
            </w:pPr>
            <w:r>
              <w:rPr>
                <w:w w:val="105"/>
                <w:sz w:val="6"/>
              </w:rPr>
              <w:t>项目支出</w:t>
            </w: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549" w:right="54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合    计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9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2,643.23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10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837.77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2,643.23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837.77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成都市温江区万春学校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3,481.00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2,643.23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837.77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商品和服务支出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1,095.43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1,095.43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1,095.43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317.36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778.07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专用材料费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29.44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29.44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29.44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25.00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4.44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培训费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6.91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6.91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6.91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5.50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1.41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印刷费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10.15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10.15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10.15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10.15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维修（护）费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150.69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150.69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150.69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73.39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77.31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办公费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32.16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32.16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32.16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27.00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5.16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劳务费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553.24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553.24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553.24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553.24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其他商品和服务支出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203.70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203.70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203.70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67.18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136.53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邮电费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4.00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物业管理费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43.51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43.51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43.51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43.51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福利费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14.07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14.07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14.07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14.07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工会经费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12.76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12.76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12.76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12.76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电费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其他交通费用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3.50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差旅费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13.00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水费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4.80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会议费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0.50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0.50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工资福利支出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2,325.47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2,325.47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2,325.47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2,325.47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津贴补贴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80.06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80.06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80.06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80.06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绩效工资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989.80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989.80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989.80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989.80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其他社会保障缴费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51.02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51.02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51.02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51.02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05"/>
                <w:sz w:val="6"/>
              </w:rPr>
              <w:t>   职工基本医疗保险缴费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85.69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85.69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85.69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85.69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住房公积金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199.60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199.60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199.60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9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199.60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职业年金缴费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124.13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124.13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124.13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124.13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基本工资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547.92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547.92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547.92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547.92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05"/>
                <w:sz w:val="6"/>
              </w:rPr>
              <w:t>   机关事业单位基本养老保险缴费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247.23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247.23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247.23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247.23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资本性支出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专用设备购置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59.70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对个人和家庭的补助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0.40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0.40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0.40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0.40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奖励金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0.08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0.08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0.08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2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0.08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0" w:hRule="atLeast"/>
        </w:trPr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0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   生活补助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0.32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0.32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7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0.32</w:t>
            </w:r>
          </w:p>
        </w:tc>
        <w:tc>
          <w:tcPr>
            <w:tcW w:w="35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spacing w:line="68" w:lineRule="exact" w:before="21"/>
              <w:ind w:right="8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0.32</w:t>
            </w: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footerReference w:type="default" r:id="rId12"/>
          <w:pgSz w:w="16840" w:h="11910" w:orient="landscape"/>
          <w:pgMar w:footer="0" w:header="0" w:top="380" w:bottom="280" w:left="1120" w:right="1020"/>
        </w:sectPr>
      </w:pPr>
    </w:p>
    <w:tbl>
      <w:tblPr>
        <w:tblW w:w="0" w:type="auto"/>
        <w:jc w:val="left"/>
        <w:tblInd w:w="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74"/>
        <w:gridCol w:w="674"/>
        <w:gridCol w:w="1852"/>
        <w:gridCol w:w="4526"/>
        <w:gridCol w:w="1814"/>
        <w:gridCol w:w="1814"/>
        <w:gridCol w:w="1814"/>
        <w:gridCol w:w="182"/>
      </w:tblGrid>
      <w:tr>
        <w:trPr>
          <w:trHeight w:val="630" w:hRule="atLeast"/>
        </w:trPr>
        <w:tc>
          <w:tcPr>
            <w:tcW w:w="13842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5"/>
              <w:ind w:right="4"/>
              <w:jc w:val="right"/>
              <w:rPr>
                <w:sz w:val="22"/>
              </w:rPr>
            </w:pPr>
            <w:r>
              <w:rPr>
                <w:sz w:val="22"/>
              </w:rPr>
              <w:t>表3</w:t>
            </w:r>
          </w:p>
          <w:p>
            <w:pPr>
              <w:pStyle w:val="TableParagraph"/>
              <w:spacing w:line="324" w:lineRule="exact"/>
              <w:ind w:left="5239" w:right="5199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一般公共预算支出预算表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C2C3C4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36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</w:tr>
      <w:tr>
        <w:trPr>
          <w:trHeight w:val="311" w:hRule="atLeast"/>
        </w:trPr>
        <w:tc>
          <w:tcPr>
            <w:tcW w:w="8400" w:type="dxa"/>
            <w:gridSpan w:val="5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spacing w:line="256" w:lineRule="exact" w:before="35"/>
              <w:ind w:left="44"/>
              <w:rPr>
                <w:sz w:val="22"/>
              </w:rPr>
            </w:pPr>
            <w:r>
              <w:rPr>
                <w:sz w:val="22"/>
              </w:rPr>
              <w:t>部门：成都市温江区万春学校</w:t>
            </w: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spacing w:line="256" w:lineRule="exact" w:before="35"/>
              <w:ind w:left="242"/>
              <w:rPr>
                <w:sz w:val="22"/>
              </w:rPr>
            </w:pPr>
            <w:r>
              <w:rPr>
                <w:spacing w:val="-2"/>
                <w:sz w:val="22"/>
              </w:rPr>
              <w:t>金额单位：万元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400" w:type="dxa"/>
            <w:gridSpan w:val="5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4"/>
              <w:ind w:left="3744" w:right="3709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项    目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676" w:right="636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30" w:lineRule="auto"/>
              <w:ind w:left="806" w:right="97" w:hanging="670"/>
              <w:rPr>
                <w:sz w:val="22"/>
              </w:rPr>
            </w:pPr>
            <w:r>
              <w:rPr>
                <w:sz w:val="22"/>
              </w:rPr>
              <w:t>当年财政拨款安排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249"/>
              <w:rPr>
                <w:sz w:val="22"/>
              </w:rPr>
            </w:pPr>
            <w:r>
              <w:rPr>
                <w:sz w:val="22"/>
              </w:rPr>
              <w:t>上年结转安排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022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4"/>
              <w:ind w:left="572"/>
              <w:rPr>
                <w:sz w:val="22"/>
              </w:rPr>
            </w:pPr>
            <w:r>
              <w:rPr>
                <w:sz w:val="22"/>
              </w:rPr>
              <w:t>科目编码</w:t>
            </w:r>
          </w:p>
        </w:tc>
        <w:tc>
          <w:tcPr>
            <w:tcW w:w="1852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90"/>
              <w:rPr>
                <w:sz w:val="22"/>
              </w:rPr>
            </w:pPr>
            <w:r>
              <w:rPr>
                <w:sz w:val="22"/>
              </w:rPr>
              <w:t>单位代码</w:t>
            </w:r>
          </w:p>
        </w:tc>
        <w:tc>
          <w:tcPr>
            <w:tcW w:w="4526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381"/>
              <w:rPr>
                <w:sz w:val="22"/>
              </w:rPr>
            </w:pPr>
            <w:r>
              <w:rPr>
                <w:sz w:val="22"/>
              </w:rPr>
              <w:t>单位名称（科目）</w:t>
            </w: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tcBorders>
              <w:left w:val="single" w:sz="8" w:space="0" w:color="C2C3C4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4"/>
              <w:ind w:left="234"/>
              <w:rPr>
                <w:sz w:val="22"/>
              </w:rPr>
            </w:pPr>
            <w:r>
              <w:rPr>
                <w:sz w:val="22"/>
              </w:rPr>
              <w:t>类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4"/>
              <w:ind w:left="234"/>
              <w:rPr>
                <w:sz w:val="22"/>
              </w:rPr>
            </w:pPr>
            <w:r>
              <w:rPr>
                <w:sz w:val="22"/>
              </w:rPr>
              <w:t>款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4"/>
              <w:ind w:left="235"/>
              <w:rPr>
                <w:sz w:val="22"/>
              </w:rPr>
            </w:pPr>
            <w:r>
              <w:rPr>
                <w:sz w:val="22"/>
              </w:rPr>
              <w:t>项</w:t>
            </w:r>
          </w:p>
        </w:tc>
        <w:tc>
          <w:tcPr>
            <w:tcW w:w="1852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 w:val="restart"/>
            <w:tcBorders>
              <w:left w:val="single" w:sz="8" w:space="0" w:color="C2C3C4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1809" w:right="1770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合    计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7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6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成都市温江区教育局部门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3,481.00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 小学教育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1,194.35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1,194.35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 其他教育费附加安排的支出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132.01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132.01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 其他教育支出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691.72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691.72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 初中教育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792.08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792.08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4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 事业单位医疗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85.69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85.69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 其他教育管理事务支出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9.04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9.04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 其他特殊教育支出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5.15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5.15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4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 住房公积金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199.60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199.60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4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5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left="46"/>
              <w:rPr>
                <w:sz w:val="22"/>
              </w:rPr>
            </w:pPr>
            <w:r>
              <w:rPr>
                <w:sz w:val="22"/>
              </w:rPr>
              <w:t> 机关事业单位职业年金缴费支出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124.13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2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124.13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4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5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852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left="46"/>
              <w:rPr>
                <w:sz w:val="22"/>
              </w:rPr>
            </w:pPr>
            <w:r>
              <w:rPr>
                <w:sz w:val="22"/>
              </w:rPr>
              <w:t> 机关事业单位基本养老保险缴费支出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247.23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1"/>
              <w:ind w:right="5"/>
              <w:jc w:val="right"/>
              <w:rPr>
                <w:sz w:val="22"/>
              </w:rPr>
            </w:pPr>
            <w:r>
              <w:rPr>
                <w:sz w:val="22"/>
              </w:rPr>
              <w:t>247.23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3"/>
          <w:pgSz w:w="16840" w:h="11910" w:orient="landscape"/>
          <w:pgMar w:footer="0" w:header="0" w:top="360" w:bottom="280" w:left="1120" w:right="1020"/>
        </w:sectPr>
      </w:pPr>
    </w:p>
    <w:p>
      <w:pPr>
        <w:pStyle w:val="BodyText"/>
        <w:rPr>
          <w:rFonts w:ascii="SimSun"/>
          <w:sz w:val="20"/>
        </w:rPr>
      </w:pPr>
      <w:r>
        <w:rPr/>
        <w:pict>
          <v:group style="position:absolute;margin-left:60.599998pt;margin-top:19.199976pt;width:479.55pt;height:495.15pt;mso-position-horizontal-relative:page;mso-position-vertical-relative:page;z-index:-20313600" coordorigin="1212,384" coordsize="9591,9903">
            <v:shape style="position:absolute;left:1224;top:1087;width:9454;height:867" coordorigin="1224,1087" coordsize="9454,867" path="m10678,1087l6761,1087,6758,1087,1224,1087,1224,1375,1224,1378,1224,1663,1224,1666,1224,1954,1709,1954,10678,1954,10678,1378,10678,1375,10678,1087xe" filled="true" fillcolor="#eef1f7" stroked="false">
              <v:path arrowok="t"/>
              <v:fill type="solid"/>
            </v:shape>
            <v:shape style="position:absolute;left:1226;top:1075;width:9452;height:591" coordorigin="1226,1075" coordsize="9452,591" path="m2196,1651l1226,1651,1226,1666,2196,1666,2196,1651xm10678,1363l1226,1363,1226,1378,10678,1378,10678,1363xm10678,1075l1226,1075,1226,1090,10678,1090,10678,1075xe" filled="true" fillcolor="#c0c0c0" stroked="false">
              <v:path arrowok="t"/>
              <v:fill type="solid"/>
            </v:shape>
            <v:rect style="position:absolute;left:10663;top:1651;width:140;height:15" filled="true" fillcolor="#ffffff" stroked="false">
              <v:fill type="solid"/>
            </v:rect>
            <v:shape style="position:absolute;left:1212;top:1089;width:9466;height:9197" coordorigin="1212,1090" coordsize="9466,9197" path="m10678,1939l3502,1939,3502,1363,3487,1363,3487,1939,3487,1954,3487,2208,2196,2208,2196,1954,3487,1954,3487,1939,2196,1939,2196,1363,2182,1363,2182,1939,2182,1954,2182,2208,1711,2208,1711,1954,2182,1954,2182,1939,1711,1939,1711,1651,1697,1651,1697,1939,1697,1954,1697,2208,1226,2208,1226,1954,1697,1954,1697,1939,1226,1939,1226,1090,1212,1090,1212,10286,1226,10286,1226,2222,1697,2222,1697,10286,1711,10286,1711,2222,2182,2222,2182,10286,2196,10286,2196,2222,3487,2222,3487,10286,3502,10286,3502,2222,10678,2222,10678,2208,3502,2208,3502,1954,10678,1954,10678,1939xe" filled="true" fillcolor="#c0c0c0" stroked="false">
              <v:path arrowok="t"/>
              <v:fill type="solid"/>
            </v:shape>
            <v:rect style="position:absolute;left:6746;top:844;width:15;height:245" filled="true" fillcolor="#ffffff" stroked="false">
              <v:fill type="solid"/>
            </v:rect>
            <v:rect style="position:absolute;left:6746;top:1089;width:15;height:9197" filled="true" fillcolor="#c0c0c0" stroked="false">
              <v:fill type="solid"/>
            </v:rect>
            <v:rect style="position:absolute;left:8052;top:844;width:15;height:245" filled="true" fillcolor="#ffffff" stroked="false">
              <v:fill type="solid"/>
            </v:rect>
            <v:rect style="position:absolute;left:8052;top:1363;width:15;height:8924" filled="true" fillcolor="#c0c0c0" stroked="false">
              <v:fill type="solid"/>
            </v:rect>
            <v:rect style="position:absolute;left:9357;top:844;width:15;height:245" filled="true" fillcolor="#ffffff" stroked="false">
              <v:fill type="solid"/>
            </v:rect>
            <v:rect style="position:absolute;left:9357;top:1363;width:15;height:8924" filled="true" fillcolor="#c0c0c0" stroked="false">
              <v:fill type="solid"/>
            </v:rect>
            <v:rect style="position:absolute;left:10663;top:384;width:15;height:706" filled="true" fillcolor="#ffffff" stroked="false">
              <v:fill type="solid"/>
            </v:rect>
            <v:rect style="position:absolute;left:10663;top:1089;width:15;height:9197" filled="true" fillcolor="#c0c0c0" stroked="false">
              <v:fill type="solid"/>
            </v:rect>
            <v:shape style="position:absolute;left:10252;top:419;width:41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表3-1</w:t>
                    </w:r>
                  </w:p>
                </w:txbxContent>
              </v:textbox>
              <w10:wrap type="none"/>
            </v:shape>
            <v:shape style="position:absolute;left:4445;top:616;width:303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23"/>
                      </w:rPr>
                    </w:pPr>
                    <w:r>
                      <w:rPr>
                        <w:rFonts w:ascii="SimSun" w:eastAsia="SimSun" w:hint="eastAsia"/>
                        <w:sz w:val="23"/>
                      </w:rPr>
                      <w:t>一般公共预算基本支出预算表</w:t>
                    </w:r>
                  </w:p>
                </w:txbxContent>
              </v:textbox>
              <w10:wrap type="none"/>
            </v:shape>
            <v:shape style="position:absolute;left:1252;top:899;width:2089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部门：成都市温江区万春学校</w:t>
                    </w:r>
                  </w:p>
                </w:txbxContent>
              </v:textbox>
              <w10:wrap type="none"/>
            </v:shape>
            <v:shape style="position:absolute;left:9535;top:899;width:1134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金额单位：万元</w:t>
                    </w:r>
                  </w:p>
                </w:txbxContent>
              </v:textbox>
              <w10:wrap type="none"/>
            </v:shape>
            <v:shape style="position:absolute;left:3669;top:1158;width:5389;height:159" type="#_x0000_t202" filled="false" stroked="false">
              <v:textbox inset="0,0,0,0">
                <w:txbxContent>
                  <w:p>
                    <w:pPr>
                      <w:tabs>
                        <w:tab w:pos="4728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sz w:val="16"/>
                      </w:rPr>
                      <w:t>项   </w:t>
                    </w:r>
                    <w:r>
                      <w:rPr>
                        <w:rFonts w:ascii="SimSun" w:eastAsia="SimSun" w:hint="eastAsia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16"/>
                      </w:rPr>
                      <w:t>目</w:t>
                      <w:tab/>
                      <w:t>基本支出</w:t>
                    </w:r>
                  </w:p>
                </w:txbxContent>
              </v:textbox>
              <w10:wrap type="none"/>
            </v:shape>
            <v:shape style="position:absolute;left:1389;top:1446;width:661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科目编码</w:t>
                    </w:r>
                  </w:p>
                </w:txbxContent>
              </v:textbox>
              <w10:wrap type="none"/>
            </v:shape>
            <v:shape style="position:absolute;left:2526;top:1590;width:661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单位代码</w:t>
                    </w:r>
                  </w:p>
                </w:txbxContent>
              </v:textbox>
              <w10:wrap type="none"/>
            </v:shape>
            <v:shape style="position:absolute;left:4488;top:1590;width:1304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单位名称（科目）</w:t>
                    </w:r>
                  </w:p>
                </w:txbxContent>
              </v:textbox>
              <w10:wrap type="none"/>
            </v:shape>
            <v:shape style="position:absolute;left:7253;top:1590;width:339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sz w:val="16"/>
                      </w:rPr>
                      <w:t>合计</w:t>
                    </w:r>
                  </w:p>
                </w:txbxContent>
              </v:textbox>
              <w10:wrap type="none"/>
            </v:shape>
            <v:shape style="position:absolute;left:8397;top:1590;width:661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人员经费</w:t>
                    </w:r>
                  </w:p>
                </w:txbxContent>
              </v:textbox>
              <w10:wrap type="none"/>
            </v:shape>
            <v:shape style="position:absolute;left:9703;top:1590;width:661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w w:val="95"/>
                        <w:sz w:val="16"/>
                      </w:rPr>
                      <w:t>公用经费</w:t>
                    </w:r>
                  </w:p>
                </w:txbxContent>
              </v:textbox>
              <w10:wrap type="none"/>
            </v:shape>
            <v:shape style="position:absolute;left:1387;top:1734;width:663;height:159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6"/>
                      </w:rPr>
                    </w:pPr>
                    <w:r>
                      <w:rPr>
                        <w:rFonts w:ascii="SimSun" w:eastAsia="SimSun" w:hint="eastAsia"/>
                        <w:sz w:val="16"/>
                      </w:rPr>
                      <w:t>类</w:t>
                      <w:tab/>
                      <w:t>款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8"/>
        <w:rPr>
          <w:rFonts w:ascii="SimSun"/>
          <w:sz w:val="2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85"/>
        <w:gridCol w:w="1306"/>
        <w:gridCol w:w="3260"/>
        <w:gridCol w:w="1306"/>
        <w:gridCol w:w="1306"/>
        <w:gridCol w:w="1306"/>
      </w:tblGrid>
      <w:tr>
        <w:trPr>
          <w:trHeight w:val="202" w:hRule="atLeast"/>
        </w:trPr>
        <w:tc>
          <w:tcPr>
            <w:tcW w:w="6842" w:type="dxa"/>
            <w:gridSpan w:val="5"/>
          </w:tcPr>
          <w:p>
            <w:pPr>
              <w:pStyle w:val="TableParagraph"/>
              <w:tabs>
                <w:tab w:pos="6167" w:val="left" w:leader="none"/>
              </w:tabs>
              <w:spacing w:line="181" w:lineRule="exact"/>
              <w:ind w:left="3588"/>
              <w:rPr>
                <w:sz w:val="16"/>
              </w:rPr>
            </w:pPr>
            <w:r>
              <w:rPr>
                <w:sz w:val="16"/>
              </w:rPr>
              <w:t>合   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计</w:t>
              <w:tab/>
              <w:t>2,643.23</w:t>
            </w:r>
          </w:p>
        </w:tc>
        <w:tc>
          <w:tcPr>
            <w:tcW w:w="1306" w:type="dxa"/>
          </w:tcPr>
          <w:p>
            <w:pPr>
              <w:pStyle w:val="TableParagraph"/>
              <w:spacing w:line="181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2,325.87</w:t>
            </w:r>
          </w:p>
        </w:tc>
        <w:tc>
          <w:tcPr>
            <w:tcW w:w="1306" w:type="dxa"/>
          </w:tcPr>
          <w:p>
            <w:pPr>
              <w:pStyle w:val="TableParagraph"/>
              <w:spacing w:line="181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317.36</w:t>
            </w:r>
          </w:p>
        </w:tc>
      </w:tr>
      <w:tr>
        <w:trPr>
          <w:trHeight w:val="261" w:hRule="atLeast"/>
        </w:trPr>
        <w:tc>
          <w:tcPr>
            <w:tcW w:w="485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4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2,643.23</w:t>
            </w:r>
          </w:p>
        </w:tc>
        <w:tc>
          <w:tcPr>
            <w:tcW w:w="1306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42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2,325.87</w:t>
            </w:r>
          </w:p>
        </w:tc>
        <w:tc>
          <w:tcPr>
            <w:tcW w:w="1306" w:type="dxa"/>
            <w:tcBorders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4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317.36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605629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w w:val="95"/>
                <w:sz w:val="16"/>
              </w:rPr>
              <w:t>成都市温江区万春学校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2,643.23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2,325.87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317.36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商品和服务支出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317.36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317.36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30216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培训费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5.50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5.50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30202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印刷费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30201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办公费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30218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专用材料费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25.00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30213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维修（护）费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73.39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73.39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30207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邮电费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30209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物业管理费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43.51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43.51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30229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福利费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14.07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30299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其他商品和服务支出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67.18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67.18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30228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工会经费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12.76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12.76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30206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电费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30239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其他交通费用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30211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差旅费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30205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水费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4.80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30215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会议费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0.50</w:t>
            </w: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工资福利支出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2,325.47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2,325.47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30102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津贴补贴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80.06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80.06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30107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绩效工资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989.80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989.80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30112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其他社会保障缴费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51.02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51.02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30110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职工基本医疗保险缴费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85.69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85.69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30113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住房公积金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199.60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199.60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30109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职业年金缴费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124.13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124.13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30101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基本工资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547.92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547.92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30108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机关事业单位基本养老保险缴费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247.23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247.23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对个人和家庭的补助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0.40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3"/>
              <w:rPr>
                <w:sz w:val="16"/>
              </w:rPr>
            </w:pPr>
            <w:r>
              <w:rPr>
                <w:sz w:val="16"/>
              </w:rPr>
              <w:t>30309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left="32"/>
              <w:rPr>
                <w:sz w:val="16"/>
              </w:rPr>
            </w:pPr>
            <w:r>
              <w:rPr>
                <w:sz w:val="16"/>
              </w:rPr>
              <w:t>  奖励金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0.08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85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149" w:right="135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3"/>
              <w:rPr>
                <w:sz w:val="16"/>
              </w:rPr>
            </w:pPr>
            <w:r>
              <w:rPr>
                <w:sz w:val="16"/>
              </w:rPr>
              <w:t>30305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left="32"/>
              <w:rPr>
                <w:sz w:val="16"/>
              </w:rPr>
            </w:pPr>
            <w:r>
              <w:rPr>
                <w:sz w:val="16"/>
              </w:rPr>
              <w:t>  生活补助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spacing w:line="199" w:lineRule="exact" w:before="3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0.32</w:t>
            </w:r>
          </w:p>
        </w:tc>
        <w:tc>
          <w:tcPr>
            <w:tcW w:w="1306" w:type="dxa"/>
            <w:tcBorders>
              <w:top w:val="single" w:sz="6" w:space="0" w:color="C0C0C0"/>
              <w:bottom w:val="single" w:sz="6" w:space="0" w:color="C0C0C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footerReference w:type="default" r:id="rId14"/>
          <w:pgSz w:w="11910" w:h="16840"/>
          <w:pgMar w:footer="0" w:header="0" w:top="360" w:bottom="280" w:left="1100" w:right="1000"/>
        </w:sectPr>
      </w:pPr>
    </w:p>
    <w:tbl>
      <w:tblPr>
        <w:tblW w:w="0" w:type="auto"/>
        <w:jc w:val="left"/>
        <w:tblInd w:w="1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1"/>
        <w:gridCol w:w="641"/>
        <w:gridCol w:w="1397"/>
        <w:gridCol w:w="4301"/>
        <w:gridCol w:w="1723"/>
        <w:gridCol w:w="171"/>
      </w:tblGrid>
      <w:tr>
        <w:trPr>
          <w:trHeight w:val="597" w:hRule="atLeast"/>
        </w:trPr>
        <w:tc>
          <w:tcPr>
            <w:tcW w:w="9344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exact" w:before="24"/>
              <w:ind w:right="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表3-2</w:t>
            </w:r>
          </w:p>
          <w:p>
            <w:pPr>
              <w:pStyle w:val="TableParagraph"/>
              <w:spacing w:line="305" w:lineRule="exact"/>
              <w:ind w:left="2696" w:right="2698"/>
              <w:jc w:val="center"/>
              <w:rPr>
                <w:sz w:val="30"/>
              </w:rPr>
            </w:pPr>
            <w:r>
              <w:rPr>
                <w:sz w:val="30"/>
              </w:rPr>
              <w:t>一般公共预算项目支出预算表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8" w:space="0" w:color="C2C3C4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4"/>
              <w:ind w:left="30"/>
              <w:rPr>
                <w:sz w:val="17"/>
              </w:rPr>
            </w:pPr>
            <w:r>
              <w:rPr>
                <w:w w:val="98"/>
                <w:sz w:val="17"/>
              </w:rPr>
              <w:t> </w:t>
            </w:r>
          </w:p>
        </w:tc>
      </w:tr>
      <w:tr>
        <w:trPr>
          <w:trHeight w:val="293" w:hRule="atLeast"/>
        </w:trPr>
        <w:tc>
          <w:tcPr>
            <w:tcW w:w="7621" w:type="dxa"/>
            <w:gridSpan w:val="5"/>
            <w:tcBorders>
              <w:top w:val="nil"/>
              <w:left w:val="nil"/>
              <w:bottom w:val="single" w:sz="8" w:space="0" w:color="C2C3C4"/>
            </w:tcBorders>
          </w:tcPr>
          <w:p>
            <w:pPr>
              <w:pStyle w:val="TableParagraph"/>
              <w:spacing w:line="235" w:lineRule="exact" w:before="38"/>
              <w:ind w:left="50"/>
              <w:rPr>
                <w:sz w:val="20"/>
              </w:rPr>
            </w:pPr>
            <w:r>
              <w:rPr>
                <w:sz w:val="20"/>
              </w:rPr>
              <w:t>部门：成都市温江区万春学校</w:t>
            </w:r>
          </w:p>
        </w:tc>
        <w:tc>
          <w:tcPr>
            <w:tcW w:w="1723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spacing w:line="235" w:lineRule="exact" w:before="38"/>
              <w:ind w:left="133"/>
              <w:rPr>
                <w:sz w:val="20"/>
              </w:rPr>
            </w:pPr>
            <w:r>
              <w:rPr>
                <w:sz w:val="20"/>
              </w:rPr>
              <w:t>金额单位：万元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923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8"/>
              <w:ind w:left="544"/>
              <w:rPr>
                <w:sz w:val="20"/>
              </w:rPr>
            </w:pPr>
            <w:r>
              <w:rPr>
                <w:sz w:val="20"/>
              </w:rPr>
              <w:t>科目编码</w:t>
            </w:r>
          </w:p>
        </w:tc>
        <w:tc>
          <w:tcPr>
            <w:tcW w:w="1397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单位代码</w:t>
            </w:r>
          </w:p>
        </w:tc>
        <w:tc>
          <w:tcPr>
            <w:tcW w:w="4301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308"/>
              <w:rPr>
                <w:sz w:val="20"/>
              </w:rPr>
            </w:pPr>
            <w:r>
              <w:rPr>
                <w:spacing w:val="3"/>
                <w:sz w:val="20"/>
              </w:rPr>
              <w:t>单位名称</w:t>
            </w:r>
            <w:r>
              <w:rPr>
                <w:sz w:val="20"/>
              </w:rPr>
              <w:t>（科目）</w:t>
            </w:r>
          </w:p>
        </w:tc>
        <w:tc>
          <w:tcPr>
            <w:tcW w:w="1723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33" w:right="6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金额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8"/>
              <w:ind w:left="220"/>
              <w:rPr>
                <w:sz w:val="20"/>
              </w:rPr>
            </w:pPr>
            <w:r>
              <w:rPr>
                <w:w w:val="102"/>
                <w:sz w:val="20"/>
              </w:rPr>
              <w:t>类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8"/>
              <w:ind w:left="220"/>
              <w:rPr>
                <w:sz w:val="20"/>
              </w:rPr>
            </w:pPr>
            <w:r>
              <w:rPr>
                <w:w w:val="102"/>
                <w:sz w:val="20"/>
              </w:rPr>
              <w:t>款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68"/>
              <w:ind w:left="220"/>
              <w:rPr>
                <w:sz w:val="20"/>
              </w:rPr>
            </w:pPr>
            <w:r>
              <w:rPr>
                <w:w w:val="102"/>
                <w:sz w:val="20"/>
              </w:rPr>
              <w:t>项</w:t>
            </w:r>
          </w:p>
        </w:tc>
        <w:tc>
          <w:tcPr>
            <w:tcW w:w="1397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tcBorders>
              <w:left w:val="single" w:sz="8" w:space="0" w:color="C2C3C4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1712" w:right="168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合    计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837.77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837.77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sz w:val="20"/>
              </w:rPr>
              <w:t>成都市温江区万春学校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837.77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小学教育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5.00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02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 乡村少年宫经费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5.00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sz w:val="20"/>
              </w:rPr>
              <w:t> 其他教育费附加安排的支出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132.01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left="39"/>
              <w:rPr>
                <w:sz w:val="20"/>
              </w:rPr>
            </w:pPr>
            <w:r>
              <w:rPr>
                <w:sz w:val="20"/>
              </w:rPr>
              <w:t>  中小学、幼儿园建设、发展项目经费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5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77.31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 教育技术装备经费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4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54.70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其他教育支出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691.72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line="250" w:lineRule="atLeast"/>
              <w:ind w:left="39" w:right="82"/>
              <w:rPr>
                <w:sz w:val="20"/>
              </w:rPr>
            </w:pPr>
            <w:r>
              <w:rPr>
                <w:sz w:val="20"/>
              </w:rPr>
              <w:t>  成都市班主任队伍专业化建设工作试验区</w:t>
            </w:r>
            <w:r>
              <w:rPr>
                <w:w w:val="105"/>
                <w:sz w:val="20"/>
              </w:rPr>
              <w:t>”经费及德育经费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1.41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sz w:val="20"/>
              </w:rPr>
              <w:t>  全区教师队伍建设管理费用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116.74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line="250" w:lineRule="atLeast"/>
              <w:ind w:left="39" w:right="42"/>
              <w:rPr>
                <w:sz w:val="20"/>
              </w:rPr>
            </w:pPr>
            <w:r>
              <w:rPr>
                <w:sz w:val="20"/>
              </w:rPr>
              <w:t>  </w:t>
            </w:r>
            <w:r>
              <w:rPr>
                <w:spacing w:val="2"/>
                <w:sz w:val="20"/>
              </w:rPr>
              <w:t>公共卫生特别服务岗志愿者专项经费</w:t>
            </w:r>
            <w:r>
              <w:rPr>
                <w:sz w:val="20"/>
              </w:rPr>
              <w:t>（校</w:t>
            </w:r>
            <w:r>
              <w:rPr>
                <w:spacing w:val="2"/>
                <w:w w:val="105"/>
                <w:sz w:val="20"/>
              </w:rPr>
              <w:t>医辅助岗</w:t>
            </w:r>
            <w:r>
              <w:rPr>
                <w:w w:val="105"/>
                <w:sz w:val="20"/>
              </w:rPr>
              <w:t>）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7.29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left="39"/>
              <w:rPr>
                <w:sz w:val="20"/>
              </w:rPr>
            </w:pPr>
            <w:r>
              <w:rPr>
                <w:sz w:val="20"/>
              </w:rPr>
              <w:t>  全区学校安装地震预警系统经费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7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5.00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 编外教职工经费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495.45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line="250" w:lineRule="atLeast"/>
              <w:ind w:left="39" w:right="54"/>
              <w:rPr>
                <w:sz w:val="20"/>
              </w:rPr>
            </w:pPr>
            <w:r>
              <w:rPr>
                <w:sz w:val="20"/>
              </w:rPr>
              <w:t>  </w:t>
            </w:r>
            <w:r>
              <w:rPr>
                <w:spacing w:val="2"/>
                <w:sz w:val="20"/>
              </w:rPr>
              <w:t>编外用工经费</w:t>
            </w:r>
            <w:r>
              <w:rPr>
                <w:sz w:val="20"/>
              </w:rPr>
              <w:t>（校园安保、消防控制室人</w:t>
            </w:r>
            <w:r>
              <w:rPr>
                <w:w w:val="105"/>
                <w:sz w:val="20"/>
              </w:rPr>
              <w:t>员）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135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42.61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 新课程改革经费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39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10.00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sz w:val="20"/>
              </w:rPr>
              <w:t>  学校智慧安防、智能感知预警服务经费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13.22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sz w:val="20"/>
              </w:rPr>
              <w:t> 其他教育管理事务支出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9.04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sz w:val="20"/>
              </w:rPr>
              <w:t>  学校艺、体、卫专项活动经费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4.68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205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99</w:t>
            </w:r>
          </w:p>
        </w:tc>
        <w:tc>
          <w:tcPr>
            <w:tcW w:w="1397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605629</w:t>
            </w:r>
          </w:p>
        </w:tc>
        <w:tc>
          <w:tcPr>
            <w:tcW w:w="430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05"/>
                <w:sz w:val="20"/>
              </w:rPr>
              <w:t>  对口支援经费</w:t>
            </w:r>
          </w:p>
        </w:tc>
        <w:tc>
          <w:tcPr>
            <w:tcW w:w="1723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56"/>
              <w:ind w:right="1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4.36</w:t>
            </w:r>
          </w:p>
        </w:tc>
        <w:tc>
          <w:tcPr>
            <w:tcW w:w="171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5"/>
          <w:pgSz w:w="11910" w:h="16840"/>
          <w:pgMar w:footer="0" w:header="0" w:top="360" w:bottom="280" w:left="1100" w:right="1000"/>
        </w:sectPr>
      </w:pPr>
    </w:p>
    <w:p>
      <w:pPr>
        <w:pStyle w:val="BodyText"/>
        <w:ind w:left="103"/>
        <w:rPr>
          <w:rFonts w:ascii="SimSun"/>
          <w:sz w:val="20"/>
        </w:rPr>
      </w:pPr>
      <w:r>
        <w:rPr>
          <w:rFonts w:ascii="SimSun"/>
          <w:sz w:val="20"/>
        </w:rPr>
        <w:pict>
          <v:group style="width:726pt;height:140.8pt;mso-position-horizontal-relative:char;mso-position-vertical-relative:line" coordorigin="0,0" coordsize="14520,2816">
            <v:rect style="position:absolute;left:8198;top:1173;width:4632;height:344" filled="true" fillcolor="#eef1f7" stroked="false">
              <v:fill type="solid"/>
            </v:rect>
            <v:shape style="position:absolute;left:0;top:818;width:14374;height:1997" coordorigin="0,818" coordsize="14374,1997" path="m14374,818l1267,818,1250,818,17,818,17,835,1250,835,1250,1841,1250,1858,1250,2798,17,2798,17,2496,1250,2496,1250,2479,17,2479,17,2177,1250,2177,1250,2160,17,2160,17,1858,1250,1858,1250,1841,17,1841,17,835,0,835,0,2815,17,2815,1250,2815,1267,2815,14374,2815,14374,2798,1267,2798,1267,2496,14374,2496,14374,2479,1267,2479,1267,2177,14374,2177,14374,2160,1267,2160,1267,1858,14374,1858,14374,1841,1267,1841,1267,835,14374,835,14374,818xe" filled="true" fillcolor="#c2c3c4" stroked="false">
              <v:path arrowok="t"/>
              <v:fill type="solid"/>
            </v:shape>
            <v:rect style="position:absolute;left:5097;top:544;width:17;height:291" filled="true" fillcolor="#ffffff" stroked="false">
              <v:fill type="solid"/>
            </v:rect>
            <v:rect style="position:absolute;left:5097;top:835;width:17;height:1980" filled="true" fillcolor="#c2c3c4" stroked="false">
              <v:fill type="solid"/>
            </v:rect>
            <v:rect style="position:absolute;left:6640;top:544;width:17;height:291" filled="true" fillcolor="#ffffff" stroked="false">
              <v:fill type="solid"/>
            </v:rect>
            <v:rect style="position:absolute;left:6640;top:1159;width:17;height:1656" filled="true" fillcolor="#c2c3c4" stroked="false">
              <v:fill type="solid"/>
            </v:rect>
            <v:rect style="position:absolute;left:8184;top:544;width:17;height:291" filled="true" fillcolor="#ffffff" stroked="false">
              <v:fill type="solid"/>
            </v:rect>
            <v:rect style="position:absolute;left:8184;top:1159;width:17;height:1656" filled="true" fillcolor="#c2c3c4" stroked="false">
              <v:fill type="solid"/>
            </v:rect>
            <v:rect style="position:absolute;left:9727;top:544;width:17;height:291" filled="true" fillcolor="#ffffff" stroked="false">
              <v:fill type="solid"/>
            </v:rect>
            <v:rect style="position:absolute;left:9727;top:1500;width:17;height:1316" filled="true" fillcolor="#c2c3c4" stroked="false">
              <v:fill type="solid"/>
            </v:rect>
            <v:rect style="position:absolute;left:11270;top:544;width:17;height:291" filled="true" fillcolor="#ffffff" stroked="false">
              <v:fill type="solid"/>
            </v:rect>
            <v:rect style="position:absolute;left:11270;top:1500;width:17;height:1316" filled="true" fillcolor="#c2c3c4" stroked="false">
              <v:fill type="solid"/>
            </v:rect>
            <v:rect style="position:absolute;left:12813;top:544;width:17;height:291" filled="true" fillcolor="#ffffff" stroked="false">
              <v:fill type="solid"/>
            </v:rect>
            <v:rect style="position:absolute;left:12813;top:1159;width:17;height:1656" filled="true" fillcolor="#c2c3c4" stroked="false">
              <v:fill type="solid"/>
            </v:rect>
            <v:shape style="position:absolute;left:14356;top:0;width:164;height:1517" coordorigin="14357,0" coordsize="164,1517" path="m14374,0l14357,0,14357,835,14374,835,14374,0xm14520,1500l14357,1500,14357,1517,14520,1517,14520,1500xe" filled="true" fillcolor="#ffffff" stroked="false">
              <v:path arrowok="t"/>
              <v:fill type="solid"/>
            </v:shape>
            <v:rect style="position:absolute;left:14356;top:835;width:17;height:1980" filled="true" fillcolor="#c2c3c4" stroked="false">
              <v:fill type="solid"/>
            </v:rect>
            <v:shape style="position:absolute;left:13874;top:43;width:488;height:185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表3-3</w:t>
                    </w:r>
                  </w:p>
                </w:txbxContent>
              </v:textbox>
              <w10:wrap type="none"/>
            </v:shape>
            <v:shape style="position:absolute;left:4869;top:277;width:4647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SimSun" w:hAnsi="SimSun" w:eastAsia="SimSun" w:hint="eastAsia"/>
                        <w:sz w:val="26"/>
                      </w:rPr>
                    </w:pPr>
                    <w:r>
                      <w:rPr>
                        <w:rFonts w:ascii="SimSun" w:hAnsi="SimSun" w:eastAsia="SimSun" w:hint="eastAsia"/>
                        <w:sz w:val="26"/>
                      </w:rPr>
                      <w:t>一般公共预算“三公”经费支出预算表</w:t>
                    </w:r>
                  </w:p>
                </w:txbxContent>
              </v:textbox>
              <w10:wrap type="none"/>
            </v:shape>
            <v:shape style="position:absolute;left:14392;top:326;width:96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SimSun"/>
                        <w:sz w:val="15"/>
                      </w:rPr>
                    </w:pPr>
                    <w:r>
                      <w:rPr>
                        <w:rFonts w:ascii="SimSun"/>
                        <w:w w:val="100"/>
                        <w:sz w:val="15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8;top:612;width:14226;height:185" type="#_x0000_t202" filled="false" stroked="false">
              <v:textbox inset="0,0,0,0">
                <w:txbxContent>
                  <w:p>
                    <w:pPr>
                      <w:tabs>
                        <w:tab w:pos="12895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部门：成都市温江区万春学校</w:t>
                      <w:tab/>
                    </w:r>
                    <w:r>
                      <w:rPr>
                        <w:rFonts w:ascii="SimSun" w:eastAsia="SimSun" w:hint="eastAsia"/>
                        <w:sz w:val="18"/>
                      </w:rPr>
                      <w:t>金额单</w:t>
                    </w:r>
                    <w:r>
                      <w:rPr>
                        <w:rFonts w:ascii="SimSun" w:eastAsia="SimSun" w:hint="eastAsia"/>
                        <w:spacing w:val="11"/>
                        <w:sz w:val="18"/>
                      </w:rPr>
                      <w:t>位</w:t>
                    </w:r>
                    <w:r>
                      <w:rPr>
                        <w:rFonts w:ascii="SimSun" w:eastAsia="SimSun" w:hint="eastAsia"/>
                        <w:sz w:val="18"/>
                      </w:rPr>
                      <w:t>：万元</w:t>
                    </w:r>
                  </w:p>
                </w:txbxContent>
              </v:textbox>
              <w10:wrap type="none"/>
            </v:shape>
            <v:shape style="position:absolute;left:1258;top:2487;width:3848;height:320" type="#_x0000_t202" filled="false" stroked="true" strokeweight=".84pt" strokecolor="#c2c3c4">
              <v:textbox inset="0,0,0,0">
                <w:txbxContent>
                  <w:p>
                    <w:pPr>
                      <w:spacing w:before="51"/>
                      <w:ind w:left="31" w:right="0" w:firstLine="0"/>
                      <w:jc w:val="left"/>
                      <w:rPr>
                        <w:rFonts w:ascii="SimSun" w:hAnsi="SimSun" w:eastAsia="SimSun" w:hint="eastAsia"/>
                        <w:sz w:val="18"/>
                      </w:rPr>
                    </w:pPr>
                    <w:r>
                      <w:rPr>
                        <w:rFonts w:ascii="SimSun" w:hAnsi="SimSun" w:eastAsia="SimSun" w:hint="eastAsia"/>
                        <w:sz w:val="18"/>
                      </w:rPr>
                      <w:t> 成都市温江区万春学校</w:t>
                    </w:r>
                  </w:p>
                </w:txbxContent>
              </v:textbox>
              <v:stroke dashstyle="solid"/>
              <w10:wrap type="none"/>
            </v:shape>
            <v:shape style="position:absolute;left:8;top:2487;width:1251;height:320" type="#_x0000_t202" filled="false" stroked="true" strokeweight=".84pt" strokecolor="#c2c3c4">
              <v:textbox inset="0,0,0,0">
                <w:txbxContent>
                  <w:p>
                    <w:pPr>
                      <w:spacing w:before="51"/>
                      <w:ind w:left="31" w:right="0" w:firstLine="0"/>
                      <w:jc w:val="left"/>
                      <w:rPr>
                        <w:rFonts w:ascii="SimSun"/>
                        <w:sz w:val="18"/>
                      </w:rPr>
                    </w:pPr>
                    <w:r>
                      <w:rPr>
                        <w:rFonts w:ascii="SimSun"/>
                        <w:w w:val="105"/>
                        <w:sz w:val="18"/>
                      </w:rPr>
                      <w:t>605629</w:t>
                    </w:r>
                  </w:p>
                </w:txbxContent>
              </v:textbox>
              <v:stroke dashstyle="solid"/>
              <w10:wrap type="none"/>
            </v:shape>
            <v:shape style="position:absolute;left:1258;top:1849;width:3848;height:320" type="#_x0000_t202" filled="false" stroked="true" strokeweight=".84pt" strokecolor="#c2c3c4">
              <v:textbox inset="0,0,0,0">
                <w:txbxContent>
                  <w:p>
                    <w:pPr>
                      <w:spacing w:before="51"/>
                      <w:ind w:left="1524" w:right="1515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pacing w:val="18"/>
                        <w:w w:val="105"/>
                        <w:sz w:val="18"/>
                      </w:rPr>
                      <w:t>合   计</w:t>
                    </w:r>
                  </w:p>
                </w:txbxContent>
              </v:textbox>
              <v:stroke dashstyle="solid"/>
              <w10:wrap type="none"/>
            </v:shape>
            <v:shape style="position:absolute;left:11278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107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公务用车运行费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735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108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公务用车购置费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92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558" w:right="551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小计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822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before="1"/>
                      <w:ind w:left="297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公务接待费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92;top:1167;width:4630;height:341" type="#_x0000_t202" filled="false" stroked="true" strokeweight=".84pt" strokecolor="#c2c3c4">
              <v:textbox inset="0,0,0,0">
                <w:txbxContent>
                  <w:p>
                    <w:pPr>
                      <w:spacing w:before="61"/>
                      <w:ind w:left="1365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公务用车购置及运行费</w:t>
                    </w:r>
                  </w:p>
                </w:txbxContent>
              </v:textbox>
              <v:stroke dashstyle="solid"/>
              <w10:wrap type="none"/>
            </v:shape>
            <v:shape style="position:absolute;left:6649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116"/>
                      <w:ind w:left="580" w:right="94" w:hanging="473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因公出国（境）</w:t>
                    </w:r>
                    <w:r>
                      <w:rPr>
                        <w:rFonts w:ascii="SimSun" w:eastAsia="SimSun" w:hint="eastAsia"/>
                        <w:spacing w:val="-87"/>
                        <w:sz w:val="18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18"/>
                      </w:rPr>
                      <w:t>费用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06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before="1"/>
                      <w:ind w:left="560" w:right="549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合计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06;top:826;width:9260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3699" w:right="3704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当年财政拨款预算安排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58;top:826;width:3848;height:1023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SimSun"/>
                        <w:sz w:val="13"/>
                      </w:rPr>
                    </w:pPr>
                  </w:p>
                  <w:p>
                    <w:pPr>
                      <w:spacing w:before="0"/>
                      <w:ind w:left="1166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单位名称（科目）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;top:826;width:1251;height:1023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SimSun"/>
                        <w:sz w:val="13"/>
                      </w:rPr>
                    </w:pPr>
                  </w:p>
                  <w:p>
                    <w:pPr>
                      <w:spacing w:before="0"/>
                      <w:ind w:left="244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单位编码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SimSun"/>
          <w:sz w:val="20"/>
        </w:rPr>
      </w:r>
    </w:p>
    <w:p>
      <w:pPr>
        <w:spacing w:before="118"/>
        <w:ind w:left="152" w:right="0" w:firstLine="0"/>
        <w:jc w:val="left"/>
        <w:rPr>
          <w:rFonts w:ascii="SimSun" w:eastAsia="SimSun" w:hint="eastAsia"/>
          <w:sz w:val="18"/>
        </w:rPr>
      </w:pPr>
      <w:r>
        <w:rPr>
          <w:rFonts w:ascii="SimSun" w:eastAsia="SimSun" w:hint="eastAsia"/>
          <w:sz w:val="18"/>
        </w:rPr>
        <w:t>注：无此项内容</w:t>
      </w:r>
    </w:p>
    <w:p>
      <w:pPr>
        <w:spacing w:after="0"/>
        <w:jc w:val="left"/>
        <w:rPr>
          <w:rFonts w:ascii="SimSun" w:eastAsia="SimSun" w:hint="eastAsia"/>
          <w:sz w:val="18"/>
        </w:rPr>
        <w:sectPr>
          <w:footerReference w:type="default" r:id="rId16"/>
          <w:pgSz w:w="16840" w:h="11910" w:orient="landscape"/>
          <w:pgMar w:footer="0" w:header="0" w:top="380" w:bottom="280" w:left="1120" w:right="1020"/>
        </w:sectPr>
      </w:pPr>
    </w:p>
    <w:tbl>
      <w:tblPr>
        <w:tblW w:w="0" w:type="auto"/>
        <w:jc w:val="left"/>
        <w:tblInd w:w="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74"/>
        <w:gridCol w:w="674"/>
        <w:gridCol w:w="1471"/>
        <w:gridCol w:w="4526"/>
        <w:gridCol w:w="1814"/>
        <w:gridCol w:w="1814"/>
        <w:gridCol w:w="1814"/>
        <w:gridCol w:w="182"/>
      </w:tblGrid>
      <w:tr>
        <w:trPr>
          <w:trHeight w:val="630" w:hRule="atLeast"/>
        </w:trPr>
        <w:tc>
          <w:tcPr>
            <w:tcW w:w="13461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 w:before="10"/>
              <w:ind w:right="4"/>
              <w:jc w:val="right"/>
              <w:rPr>
                <w:sz w:val="22"/>
              </w:rPr>
            </w:pPr>
            <w:r>
              <w:rPr>
                <w:sz w:val="22"/>
              </w:rPr>
              <w:t>表4</w:t>
            </w:r>
          </w:p>
          <w:p>
            <w:pPr>
              <w:pStyle w:val="TableParagraph"/>
              <w:spacing w:line="330" w:lineRule="exact"/>
              <w:ind w:left="4752" w:right="4705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政府性基金支出预算表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C2C3C4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5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</w:tr>
      <w:tr>
        <w:trPr>
          <w:trHeight w:val="311" w:hRule="atLeast"/>
        </w:trPr>
        <w:tc>
          <w:tcPr>
            <w:tcW w:w="8019" w:type="dxa"/>
            <w:gridSpan w:val="5"/>
            <w:tcBorders>
              <w:top w:val="nil"/>
              <w:left w:val="nil"/>
              <w:bottom w:val="single" w:sz="8" w:space="0" w:color="C2C3C4"/>
            </w:tcBorders>
          </w:tcPr>
          <w:p>
            <w:pPr>
              <w:pStyle w:val="TableParagraph"/>
              <w:spacing w:line="262" w:lineRule="exact" w:before="29"/>
              <w:ind w:left="54"/>
              <w:rPr>
                <w:sz w:val="22"/>
              </w:rPr>
            </w:pPr>
            <w:r>
              <w:rPr>
                <w:sz w:val="22"/>
              </w:rPr>
              <w:t>部门：成都市温江区万春学校</w:t>
            </w: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spacing w:line="262" w:lineRule="exact" w:before="29"/>
              <w:ind w:left="143"/>
              <w:rPr>
                <w:sz w:val="22"/>
              </w:rPr>
            </w:pPr>
            <w:r>
              <w:rPr>
                <w:sz w:val="22"/>
              </w:rPr>
              <w:t>金额单位：万元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019" w:type="dxa"/>
            <w:gridSpan w:val="5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3554" w:right="3518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项    目</w:t>
            </w:r>
          </w:p>
        </w:tc>
        <w:tc>
          <w:tcPr>
            <w:tcW w:w="5442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1503"/>
              <w:rPr>
                <w:sz w:val="22"/>
              </w:rPr>
            </w:pPr>
            <w:r>
              <w:rPr>
                <w:sz w:val="22"/>
              </w:rPr>
              <w:t>本年政府性基金预算支出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022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572"/>
              <w:rPr>
                <w:sz w:val="22"/>
              </w:rPr>
            </w:pPr>
            <w:r>
              <w:rPr>
                <w:sz w:val="22"/>
              </w:rPr>
              <w:t>科目编码</w:t>
            </w:r>
          </w:p>
        </w:tc>
        <w:tc>
          <w:tcPr>
            <w:tcW w:w="1471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00"/>
              <w:rPr>
                <w:sz w:val="22"/>
              </w:rPr>
            </w:pPr>
            <w:r>
              <w:rPr>
                <w:sz w:val="22"/>
              </w:rPr>
              <w:t>单位代码</w:t>
            </w:r>
          </w:p>
        </w:tc>
        <w:tc>
          <w:tcPr>
            <w:tcW w:w="4526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380"/>
              <w:rPr>
                <w:sz w:val="22"/>
              </w:rPr>
            </w:pPr>
            <w:r>
              <w:rPr>
                <w:sz w:val="22"/>
              </w:rPr>
              <w:t>单位名称（科目）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75" w:right="637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基本支出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72"/>
              <w:rPr>
                <w:sz w:val="22"/>
              </w:rPr>
            </w:pPr>
            <w:r>
              <w:rPr>
                <w:sz w:val="22"/>
              </w:rPr>
              <w:t>项目支出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类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款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5"/>
              <w:rPr>
                <w:sz w:val="22"/>
              </w:rPr>
            </w:pPr>
            <w:r>
              <w:rPr>
                <w:sz w:val="22"/>
              </w:rPr>
              <w:t>项</w:t>
            </w:r>
          </w:p>
        </w:tc>
        <w:tc>
          <w:tcPr>
            <w:tcW w:w="1471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 w:val="restart"/>
            <w:tcBorders>
              <w:left w:val="single" w:sz="8" w:space="0" w:color="C2C3C4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45"/>
              <w:ind w:left="1808" w:right="1770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合    计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46"/>
              <w:ind w:left="46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SimSun"/>
          <w:sz w:val="6"/>
        </w:rPr>
      </w:pPr>
    </w:p>
    <w:p>
      <w:pPr>
        <w:spacing w:before="69"/>
        <w:ind w:left="602" w:right="0" w:firstLine="0"/>
        <w:jc w:val="left"/>
        <w:rPr>
          <w:rFonts w:ascii="SimSun" w:eastAsia="SimSun" w:hint="eastAsia"/>
          <w:sz w:val="22"/>
        </w:rPr>
      </w:pPr>
      <w:r>
        <w:rPr>
          <w:rFonts w:ascii="SimSun" w:eastAsia="SimSun" w:hint="eastAsia"/>
          <w:sz w:val="22"/>
        </w:rPr>
        <w:t>注：无此项内容</w:t>
      </w:r>
    </w:p>
    <w:p>
      <w:pPr>
        <w:spacing w:after="0"/>
        <w:jc w:val="left"/>
        <w:rPr>
          <w:rFonts w:ascii="SimSun" w:eastAsia="SimSun" w:hint="eastAsia"/>
          <w:sz w:val="22"/>
        </w:rPr>
        <w:sectPr>
          <w:footerReference w:type="default" r:id="rId17"/>
          <w:pgSz w:w="16840" w:h="11910" w:orient="landscape"/>
          <w:pgMar w:footer="0" w:header="0" w:top="380" w:bottom="280" w:left="1120" w:right="1020"/>
        </w:sectPr>
      </w:pPr>
    </w:p>
    <w:p>
      <w:pPr>
        <w:pStyle w:val="BodyText"/>
        <w:ind w:left="103"/>
        <w:rPr>
          <w:rFonts w:ascii="SimSun"/>
          <w:sz w:val="20"/>
        </w:rPr>
      </w:pPr>
      <w:r>
        <w:rPr>
          <w:rFonts w:ascii="SimSun"/>
          <w:sz w:val="20"/>
        </w:rPr>
        <w:pict>
          <v:group style="width:726pt;height:140.8pt;mso-position-horizontal-relative:char;mso-position-vertical-relative:line" coordorigin="0,0" coordsize="14520,2816">
            <v:rect style="position:absolute;left:8198;top:1173;width:4632;height:344" filled="true" fillcolor="#eef1f7" stroked="false">
              <v:fill type="solid"/>
            </v:rect>
            <v:shape style="position:absolute;left:0;top:818;width:14374;height:1997" coordorigin="0,818" coordsize="14374,1997" path="m14374,818l1267,818,1250,818,17,818,17,835,1250,835,1250,1841,1250,1858,1250,2798,17,2798,17,2496,1250,2496,1250,2479,17,2479,17,2177,1250,2177,1250,2160,17,2160,17,1858,1250,1858,1250,1841,17,1841,17,835,0,835,0,2815,17,2815,1250,2815,1267,2815,14374,2815,14374,2798,1267,2798,1267,2496,14374,2496,14374,2479,1267,2479,1267,2177,14374,2177,14374,2160,1267,2160,1267,1858,14374,1858,14374,1841,1267,1841,1267,835,14374,835,14374,818xe" filled="true" fillcolor="#c2c3c4" stroked="false">
              <v:path arrowok="t"/>
              <v:fill type="solid"/>
            </v:shape>
            <v:rect style="position:absolute;left:5097;top:544;width:17;height:291" filled="true" fillcolor="#ffffff" stroked="false">
              <v:fill type="solid"/>
            </v:rect>
            <v:rect style="position:absolute;left:5097;top:835;width:17;height:1980" filled="true" fillcolor="#c2c3c4" stroked="false">
              <v:fill type="solid"/>
            </v:rect>
            <v:rect style="position:absolute;left:6640;top:544;width:17;height:291" filled="true" fillcolor="#ffffff" stroked="false">
              <v:fill type="solid"/>
            </v:rect>
            <v:rect style="position:absolute;left:6640;top:1159;width:17;height:1656" filled="true" fillcolor="#c2c3c4" stroked="false">
              <v:fill type="solid"/>
            </v:rect>
            <v:rect style="position:absolute;left:8184;top:544;width:17;height:291" filled="true" fillcolor="#ffffff" stroked="false">
              <v:fill type="solid"/>
            </v:rect>
            <v:rect style="position:absolute;left:8184;top:1159;width:17;height:1656" filled="true" fillcolor="#c2c3c4" stroked="false">
              <v:fill type="solid"/>
            </v:rect>
            <v:rect style="position:absolute;left:9727;top:544;width:17;height:291" filled="true" fillcolor="#ffffff" stroked="false">
              <v:fill type="solid"/>
            </v:rect>
            <v:rect style="position:absolute;left:9727;top:1500;width:17;height:1316" filled="true" fillcolor="#c2c3c4" stroked="false">
              <v:fill type="solid"/>
            </v:rect>
            <v:rect style="position:absolute;left:11270;top:544;width:17;height:291" filled="true" fillcolor="#ffffff" stroked="false">
              <v:fill type="solid"/>
            </v:rect>
            <v:rect style="position:absolute;left:11270;top:1500;width:17;height:1316" filled="true" fillcolor="#c2c3c4" stroked="false">
              <v:fill type="solid"/>
            </v:rect>
            <v:rect style="position:absolute;left:12813;top:544;width:17;height:291" filled="true" fillcolor="#ffffff" stroked="false">
              <v:fill type="solid"/>
            </v:rect>
            <v:rect style="position:absolute;left:12813;top:1159;width:17;height:1656" filled="true" fillcolor="#c2c3c4" stroked="false">
              <v:fill type="solid"/>
            </v:rect>
            <v:shape style="position:absolute;left:14356;top:0;width:164;height:1517" coordorigin="14357,0" coordsize="164,1517" path="m14374,0l14357,0,14357,835,14374,835,14374,0xm14520,1500l14357,1500,14357,1517,14520,1517,14520,1500xe" filled="true" fillcolor="#ffffff" stroked="false">
              <v:path arrowok="t"/>
              <v:fill type="solid"/>
            </v:shape>
            <v:rect style="position:absolute;left:14356;top:835;width:17;height:1980" filled="true" fillcolor="#c2c3c4" stroked="false">
              <v:fill type="solid"/>
            </v:rect>
            <v:shape style="position:absolute;left:13874;top:43;width:488;height:185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表4-1</w:t>
                    </w:r>
                  </w:p>
                </w:txbxContent>
              </v:textbox>
              <w10:wrap type="none"/>
            </v:shape>
            <v:shape style="position:absolute;left:4732;top:277;width:4921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SimSun" w:hAnsi="SimSun" w:eastAsia="SimSun" w:hint="eastAsia"/>
                        <w:sz w:val="26"/>
                      </w:rPr>
                    </w:pPr>
                    <w:r>
                      <w:rPr>
                        <w:rFonts w:ascii="SimSun" w:hAnsi="SimSun" w:eastAsia="SimSun" w:hint="eastAsia"/>
                        <w:sz w:val="26"/>
                      </w:rPr>
                      <w:t>政府性基金预算“三公”经费支出预算表</w:t>
                    </w:r>
                  </w:p>
                </w:txbxContent>
              </v:textbox>
              <w10:wrap type="none"/>
            </v:shape>
            <v:shape style="position:absolute;left:14392;top:326;width:96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SimSun"/>
                        <w:sz w:val="15"/>
                      </w:rPr>
                    </w:pPr>
                    <w:r>
                      <w:rPr>
                        <w:rFonts w:ascii="SimSun"/>
                        <w:w w:val="100"/>
                        <w:sz w:val="15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8;top:612;width:14226;height:185" type="#_x0000_t202" filled="false" stroked="false">
              <v:textbox inset="0,0,0,0">
                <w:txbxContent>
                  <w:p>
                    <w:pPr>
                      <w:tabs>
                        <w:tab w:pos="12895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部门：成都市温江区万春学校</w:t>
                      <w:tab/>
                    </w:r>
                    <w:r>
                      <w:rPr>
                        <w:rFonts w:ascii="SimSun" w:eastAsia="SimSun" w:hint="eastAsia"/>
                        <w:sz w:val="18"/>
                      </w:rPr>
                      <w:t>金额单</w:t>
                    </w:r>
                    <w:r>
                      <w:rPr>
                        <w:rFonts w:ascii="SimSun" w:eastAsia="SimSun" w:hint="eastAsia"/>
                        <w:spacing w:val="11"/>
                        <w:sz w:val="18"/>
                      </w:rPr>
                      <w:t>位</w:t>
                    </w:r>
                    <w:r>
                      <w:rPr>
                        <w:rFonts w:ascii="SimSun" w:eastAsia="SimSun" w:hint="eastAsia"/>
                        <w:sz w:val="18"/>
                      </w:rPr>
                      <w:t>：万元</w:t>
                    </w:r>
                  </w:p>
                </w:txbxContent>
              </v:textbox>
              <w10:wrap type="none"/>
            </v:shape>
            <v:shape style="position:absolute;left:1258;top:2487;width:3848;height:320" type="#_x0000_t202" filled="false" stroked="true" strokeweight=".84pt" strokecolor="#c2c3c4">
              <v:textbox inset="0,0,0,0">
                <w:txbxContent>
                  <w:p>
                    <w:pPr>
                      <w:spacing w:before="51"/>
                      <w:ind w:left="31" w:right="0" w:firstLine="0"/>
                      <w:jc w:val="left"/>
                      <w:rPr>
                        <w:rFonts w:ascii="SimSun" w:hAnsi="SimSun"/>
                        <w:sz w:val="18"/>
                      </w:rPr>
                    </w:pPr>
                    <w:r>
                      <w:rPr>
                        <w:rFonts w:ascii="SimSun" w:hAnsi="SimSun"/>
                        <w:w w:val="102"/>
                        <w:sz w:val="18"/>
                      </w:rPr>
                      <w:t> </w:t>
                    </w:r>
                  </w:p>
                </w:txbxContent>
              </v:textbox>
              <v:stroke dashstyle="solid"/>
              <w10:wrap type="none"/>
            </v:shape>
            <v:shape style="position:absolute;left:1258;top:1849;width:3848;height:320" type="#_x0000_t202" filled="false" stroked="true" strokeweight=".84pt" strokecolor="#c2c3c4">
              <v:textbox inset="0,0,0,0">
                <w:txbxContent>
                  <w:p>
                    <w:pPr>
                      <w:spacing w:before="51"/>
                      <w:ind w:left="1524" w:right="1515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pacing w:val="18"/>
                        <w:w w:val="105"/>
                        <w:sz w:val="18"/>
                      </w:rPr>
                      <w:t>合   计</w:t>
                    </w:r>
                  </w:p>
                </w:txbxContent>
              </v:textbox>
              <v:stroke dashstyle="solid"/>
              <w10:wrap type="none"/>
            </v:shape>
            <v:shape style="position:absolute;left:11278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107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公务用车运行费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735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108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公务用车购置费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92;top:1508;width:1544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558" w:right="551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小计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822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before="1"/>
                      <w:ind w:left="297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公务接待费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92;top:1167;width:4630;height:341" type="#_x0000_t202" filled="false" stroked="true" strokeweight=".84pt" strokecolor="#c2c3c4">
              <v:textbox inset="0,0,0,0">
                <w:txbxContent>
                  <w:p>
                    <w:pPr>
                      <w:spacing w:before="61"/>
                      <w:ind w:left="1365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公务用车购置及运行费</w:t>
                    </w:r>
                  </w:p>
                </w:txbxContent>
              </v:textbox>
              <v:stroke dashstyle="solid"/>
              <w10:wrap type="none"/>
            </v:shape>
            <v:shape style="position:absolute;left:6649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116"/>
                      <w:ind w:left="580" w:right="94" w:hanging="473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因公出国（境）</w:t>
                    </w:r>
                    <w:r>
                      <w:rPr>
                        <w:rFonts w:ascii="SimSun" w:eastAsia="SimSun" w:hint="eastAsia"/>
                        <w:spacing w:val="-87"/>
                        <w:sz w:val="18"/>
                      </w:rPr>
                      <w:t> </w:t>
                    </w:r>
                    <w:r>
                      <w:rPr>
                        <w:rFonts w:ascii="SimSun" w:eastAsia="SimSun" w:hint="eastAsia"/>
                        <w:sz w:val="18"/>
                      </w:rPr>
                      <w:t>费用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06;top:1167;width:1544;height:682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before="1"/>
                      <w:ind w:left="560" w:right="549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w w:val="105"/>
                        <w:sz w:val="18"/>
                      </w:rPr>
                      <w:t>合计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06;top:826;width:9260;height:341" type="#_x0000_t202" filled="true" fillcolor="#eef1f7" stroked="true" strokeweight=".84pt" strokecolor="#c2c3c4">
              <v:textbox inset="0,0,0,0">
                <w:txbxContent>
                  <w:p>
                    <w:pPr>
                      <w:spacing w:before="61"/>
                      <w:ind w:left="3699" w:right="3704" w:firstLine="0"/>
                      <w:jc w:val="center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当年财政拨款预算安排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258;top:826;width:3848;height:1023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SimSun"/>
                        <w:sz w:val="13"/>
                      </w:rPr>
                    </w:pPr>
                  </w:p>
                  <w:p>
                    <w:pPr>
                      <w:spacing w:before="0"/>
                      <w:ind w:left="1166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单位名称（科目）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;top:826;width:1251;height:1023" type="#_x0000_t202" filled="true" fillcolor="#eef1f7" stroked="true" strokeweight=".84pt" strokecolor="#c2c3c4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imSun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SimSun"/>
                        <w:sz w:val="13"/>
                      </w:rPr>
                    </w:pPr>
                  </w:p>
                  <w:p>
                    <w:pPr>
                      <w:spacing w:before="0"/>
                      <w:ind w:left="244" w:right="0" w:firstLine="0"/>
                      <w:jc w:val="left"/>
                      <w:rPr>
                        <w:rFonts w:ascii="SimSun" w:eastAsia="SimSun" w:hint="eastAsia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>单位编码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SimSun"/>
          <w:sz w:val="20"/>
        </w:rPr>
      </w:r>
    </w:p>
    <w:p>
      <w:pPr>
        <w:spacing w:before="118"/>
        <w:ind w:left="152" w:right="0" w:firstLine="0"/>
        <w:jc w:val="left"/>
        <w:rPr>
          <w:rFonts w:ascii="SimSun" w:eastAsia="SimSun" w:hint="eastAsia"/>
          <w:sz w:val="18"/>
        </w:rPr>
      </w:pPr>
      <w:r>
        <w:rPr>
          <w:rFonts w:ascii="SimSun" w:eastAsia="SimSun" w:hint="eastAsia"/>
          <w:sz w:val="18"/>
        </w:rPr>
        <w:t>注：无此项内容</w:t>
      </w:r>
    </w:p>
    <w:p>
      <w:pPr>
        <w:spacing w:after="0"/>
        <w:jc w:val="left"/>
        <w:rPr>
          <w:rFonts w:ascii="SimSun" w:eastAsia="SimSun" w:hint="eastAsia"/>
          <w:sz w:val="18"/>
        </w:rPr>
        <w:sectPr>
          <w:footerReference w:type="default" r:id="rId18"/>
          <w:pgSz w:w="16840" w:h="11910" w:orient="landscape"/>
          <w:pgMar w:footer="0" w:header="0" w:top="380" w:bottom="280" w:left="1120" w:right="1020"/>
        </w:sectPr>
      </w:pPr>
    </w:p>
    <w:tbl>
      <w:tblPr>
        <w:tblW w:w="0" w:type="auto"/>
        <w:jc w:val="left"/>
        <w:tblInd w:w="5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74"/>
        <w:gridCol w:w="674"/>
        <w:gridCol w:w="1471"/>
        <w:gridCol w:w="4526"/>
        <w:gridCol w:w="1814"/>
        <w:gridCol w:w="1814"/>
        <w:gridCol w:w="1814"/>
        <w:gridCol w:w="182"/>
      </w:tblGrid>
      <w:tr>
        <w:trPr>
          <w:trHeight w:val="630" w:hRule="atLeast"/>
        </w:trPr>
        <w:tc>
          <w:tcPr>
            <w:tcW w:w="13461" w:type="dxa"/>
            <w:gridSpan w:val="8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1" w:lineRule="exact" w:before="10"/>
              <w:ind w:right="4"/>
              <w:jc w:val="right"/>
              <w:rPr>
                <w:sz w:val="22"/>
              </w:rPr>
            </w:pPr>
            <w:r>
              <w:rPr>
                <w:sz w:val="22"/>
              </w:rPr>
              <w:t>表5</w:t>
            </w:r>
          </w:p>
          <w:p>
            <w:pPr>
              <w:pStyle w:val="TableParagraph"/>
              <w:spacing w:line="330" w:lineRule="exact"/>
              <w:ind w:left="4754" w:right="4705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国有资本经营预算支出预算表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8" w:space="0" w:color="C2C3C4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5"/>
              <w:rPr>
                <w:sz w:val="18"/>
              </w:rPr>
            </w:pPr>
            <w:r>
              <w:rPr>
                <w:sz w:val="18"/>
              </w:rPr>
              <w:t> </w:t>
            </w:r>
          </w:p>
        </w:tc>
      </w:tr>
      <w:tr>
        <w:trPr>
          <w:trHeight w:val="311" w:hRule="atLeast"/>
        </w:trPr>
        <w:tc>
          <w:tcPr>
            <w:tcW w:w="8019" w:type="dxa"/>
            <w:gridSpan w:val="5"/>
            <w:tcBorders>
              <w:top w:val="nil"/>
              <w:left w:val="nil"/>
              <w:bottom w:val="single" w:sz="8" w:space="0" w:color="C2C3C4"/>
            </w:tcBorders>
          </w:tcPr>
          <w:p>
            <w:pPr>
              <w:pStyle w:val="TableParagraph"/>
              <w:spacing w:line="262" w:lineRule="exact" w:before="29"/>
              <w:ind w:left="54"/>
              <w:rPr>
                <w:sz w:val="22"/>
              </w:rPr>
            </w:pPr>
            <w:r>
              <w:rPr>
                <w:sz w:val="22"/>
              </w:rPr>
              <w:t>部门：成都市温江区万春学校</w:t>
            </w: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8" w:space="0" w:color="C2C3C4"/>
            </w:tcBorders>
          </w:tcPr>
          <w:p>
            <w:pPr>
              <w:pStyle w:val="TableParagraph"/>
              <w:spacing w:line="262" w:lineRule="exact" w:before="29"/>
              <w:ind w:left="143"/>
              <w:rPr>
                <w:sz w:val="22"/>
              </w:rPr>
            </w:pPr>
            <w:r>
              <w:rPr>
                <w:sz w:val="22"/>
              </w:rPr>
              <w:t>金额单位：万元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019" w:type="dxa"/>
            <w:gridSpan w:val="5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3554" w:right="3518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项    目</w:t>
            </w:r>
          </w:p>
        </w:tc>
        <w:tc>
          <w:tcPr>
            <w:tcW w:w="5442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1393"/>
              <w:rPr>
                <w:sz w:val="22"/>
              </w:rPr>
            </w:pPr>
            <w:r>
              <w:rPr>
                <w:sz w:val="22"/>
              </w:rPr>
              <w:t>本年国有资本经营预算支出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2022" w:type="dxa"/>
            <w:gridSpan w:val="3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572"/>
              <w:rPr>
                <w:sz w:val="22"/>
              </w:rPr>
            </w:pPr>
            <w:r>
              <w:rPr>
                <w:sz w:val="22"/>
              </w:rPr>
              <w:t>科目编码</w:t>
            </w:r>
          </w:p>
        </w:tc>
        <w:tc>
          <w:tcPr>
            <w:tcW w:w="1471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00"/>
              <w:rPr>
                <w:sz w:val="22"/>
              </w:rPr>
            </w:pPr>
            <w:r>
              <w:rPr>
                <w:sz w:val="22"/>
              </w:rPr>
              <w:t>单位代码</w:t>
            </w:r>
          </w:p>
        </w:tc>
        <w:tc>
          <w:tcPr>
            <w:tcW w:w="4526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380"/>
              <w:rPr>
                <w:sz w:val="22"/>
              </w:rPr>
            </w:pPr>
            <w:r>
              <w:rPr>
                <w:sz w:val="22"/>
              </w:rPr>
              <w:t>单位名称（科目）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75" w:right="637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基本支出</w:t>
            </w:r>
          </w:p>
        </w:tc>
        <w:tc>
          <w:tcPr>
            <w:tcW w:w="1814" w:type="dxa"/>
            <w:vMerge w:val="restart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72"/>
              <w:rPr>
                <w:sz w:val="22"/>
              </w:rPr>
            </w:pPr>
            <w:r>
              <w:rPr>
                <w:sz w:val="22"/>
              </w:rPr>
              <w:t>项目支出</w:t>
            </w: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类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款</w:t>
            </w: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pStyle w:val="TableParagraph"/>
              <w:spacing w:before="58"/>
              <w:ind w:left="235"/>
              <w:rPr>
                <w:sz w:val="22"/>
              </w:rPr>
            </w:pPr>
            <w:r>
              <w:rPr>
                <w:sz w:val="22"/>
              </w:rPr>
              <w:t>项</w:t>
            </w:r>
          </w:p>
        </w:tc>
        <w:tc>
          <w:tcPr>
            <w:tcW w:w="1471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C2C3C4"/>
              <w:bottom w:val="single" w:sz="8" w:space="0" w:color="C2C3C4"/>
              <w:right w:val="single" w:sz="8" w:space="0" w:color="C2C3C4"/>
            </w:tcBorders>
            <w:shd w:val="clear" w:color="auto" w:fill="EEF1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 w:val="restart"/>
            <w:tcBorders>
              <w:left w:val="single" w:sz="8" w:space="0" w:color="C2C3C4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45"/>
              <w:ind w:left="1808" w:right="1770"/>
              <w:jc w:val="center"/>
              <w:rPr>
                <w:sz w:val="22"/>
              </w:rPr>
            </w:pPr>
            <w:r>
              <w:rPr>
                <w:spacing w:val="1"/>
                <w:sz w:val="22"/>
              </w:rPr>
              <w:t>合    计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1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6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spacing w:before="46"/>
              <w:ind w:left="46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8" w:space="0" w:color="C2C3C4"/>
              <w:left w:val="single" w:sz="8" w:space="0" w:color="C2C3C4"/>
              <w:bottom w:val="single" w:sz="8" w:space="0" w:color="C2C3C4"/>
              <w:right w:val="single" w:sz="8" w:space="0" w:color="C2C3C4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8" w:space="0" w:color="C2C3C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SimSun"/>
          <w:sz w:val="6"/>
        </w:rPr>
      </w:pPr>
    </w:p>
    <w:p>
      <w:pPr>
        <w:spacing w:before="69"/>
        <w:ind w:left="602" w:right="0" w:firstLine="0"/>
        <w:jc w:val="left"/>
        <w:rPr>
          <w:rFonts w:ascii="SimSun" w:eastAsia="SimSun" w:hint="eastAsia"/>
          <w:sz w:val="22"/>
        </w:rPr>
      </w:pPr>
      <w:r>
        <w:rPr>
          <w:rFonts w:ascii="SimSun" w:eastAsia="SimSun" w:hint="eastAsia"/>
          <w:sz w:val="22"/>
        </w:rPr>
        <w:t>注：无此项内容</w:t>
      </w:r>
    </w:p>
    <w:sectPr>
      <w:footerReference w:type="default" r:id="rId19"/>
      <w:pgSz w:w="16840" w:h="11910" w:orient="landscape"/>
      <w:pgMar w:footer="0" w:header="0" w:top="380" w:bottom="280" w:left="11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99988pt;margin-top:749.737pt;width:36.6pt;height:15.7pt;mso-position-horizontal-relative:page;mso-position-vertical-relative:page;z-index:-20315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1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9988pt;margin-top:760.177002pt;width:36.450pt;height:12.1pt;mso-position-horizontal-relative:page;mso-position-vertical-relative:page;z-index:-203146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—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z w:val="1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7" w:hanging="265"/>
        <w:jc w:val="left"/>
      </w:pPr>
      <w:rPr>
        <w:rFonts w:hint="default" w:ascii="Microsoft YaHei" w:hAnsi="Microsoft YaHei" w:eastAsia="Microsoft YaHei" w:cs="Microsoft YaHei"/>
        <w:spacing w:val="-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2" w:hanging="26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5" w:hanging="26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7" w:hanging="26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6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2" w:hanging="26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5" w:hanging="26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7" w:hanging="26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80" w:hanging="265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4"/>
      <w:numFmt w:val="decimal"/>
      <w:lvlText w:val="%1."/>
      <w:lvlJc w:val="left"/>
      <w:pPr>
        <w:ind w:left="116" w:hanging="450"/>
        <w:jc w:val="left"/>
      </w:pPr>
      <w:rPr>
        <w:rFonts w:hint="default" w:ascii="Microsoft YaHei" w:hAnsi="Microsoft YaHei" w:eastAsia="Microsoft YaHei" w:cs="Microsoft YaHei"/>
        <w:spacing w:val="-3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2" w:hanging="45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5" w:hanging="45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7" w:hanging="45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45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2" w:hanging="45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5" w:hanging="45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7" w:hanging="45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80" w:hanging="450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481"/>
        <w:jc w:val="left"/>
      </w:pPr>
      <w:rPr>
        <w:rFonts w:hint="default" w:ascii="Times New Roman" w:hAnsi="Times New Roman" w:eastAsia="Times New Roman" w:cs="Times New Roman"/>
        <w:spacing w:val="-13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2" w:hanging="48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5" w:hanging="4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7" w:hanging="4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4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2" w:hanging="4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5" w:hanging="4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7" w:hanging="4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80" w:hanging="481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16" w:hanging="800"/>
        <w:jc w:val="left"/>
      </w:pPr>
      <w:rPr>
        <w:rFonts w:hint="default" w:ascii="Microsoft YaHei" w:hAnsi="Microsoft YaHei" w:eastAsia="Microsoft YaHei" w:cs="Microsoft YaHei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2" w:hanging="8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5" w:hanging="8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7" w:hanging="8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8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2" w:hanging="8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5" w:hanging="8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7" w:hanging="8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80" w:hanging="800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02" w:hanging="24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85" w:hanging="24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7" w:hanging="24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050" w:hanging="24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32" w:hanging="24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5" w:hanging="24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97" w:hanging="24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980" w:hanging="242"/>
      </w:pPr>
      <w:rPr>
        <w:rFonts w:hint="default"/>
        <w:lang w:val="en-US" w:eastAsia="zh-CN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Microsoft YaHei" w:hAnsi="Microsoft YaHei" w:eastAsia="Microsoft YaHei" w:cs="Microsoft YaHei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281"/>
      <w:outlineLvl w:val="1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16" w:right="664" w:firstLine="640"/>
    </w:pPr>
    <w:rPr>
      <w:rFonts w:ascii="Microsoft YaHei" w:hAnsi="Microsoft YaHei" w:eastAsia="Microsoft YaHei" w:cs="Microsoft YaHei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2023-03-15T08:45:20Z</dcterms:created>
  <dcterms:modified xsi:type="dcterms:W3CDTF">2023-03-15T08:45:20Z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2023-03-15T00:00:00Z</vt:filetime>
  </property>
</Properties>
</file>